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pPr>
        <w:jc w:val="center"/>
      </w:pPr>
      <w:r>
        <w:rPr>
          <w:b/>
          <w:color w:val="1A3C6E"/>
          <w:sz w:val="56"/>
        </w:rPr>
        <w:t>平潭发展</w:t>
      </w:r>
    </w:p>
    <w:p>
      <w:pPr>
        <w:jc w:val="center"/>
      </w:pPr>
      <w:r>
        <w:rPr>
          <w:color w:val="333333"/>
          <w:sz w:val="28"/>
        </w:rPr>
        <w:t>000592.SZ  ·  CN</w:t>
      </w:r>
    </w:p>
    <w:p/>
    <w:p/>
    <w:p>
      <w:pPr>
        <w:jc w:val="center"/>
      </w:pPr>
      <w:r>
        <w:rPr>
          <w:color w:val="1A3C6E"/>
          <w:sz w:val="32"/>
        </w:rPr>
        <w:t>投资决策报告</w:t>
      </w:r>
    </w:p>
    <w:p/>
    <w:p>
      <w:pPr>
        <w:jc w:val="center"/>
      </w:pPr>
      <w:r>
        <w:rPr>
          <w:color w:val="333333"/>
          <w:sz w:val="24"/>
        </w:rPr>
        <w:t>报告日期: 2026-09-04</w:t>
      </w:r>
    </w:p>
    <w:p>
      <w:r>
        <w:br w:type="page"/>
      </w:r>
    </w:p>
    <w:p>
      <w:pPr/>
      <w:r>
        <w:rPr>
          <w:b/>
          <w:color w:val="1A3C6E"/>
          <w:sz w:val="32"/>
        </w:rPr>
        <w:t>1. 公司概览</w:t>
      </w:r>
    </w:p>
    <w:p/>
    <w:p>
      <w:pPr/>
      <w:r>
        <w:rPr>
          <w:color w:val="333333"/>
          <w:sz w:val="20"/>
        </w:rPr>
        <w:t>中福海峡(平潭)发展股份有限公司于1993年设立,1996年3月在深圳证券交易所上市,证券简称“平潭发展”,证券代码“000592”。公司是福建省农业、林业产业化省级重点龙头企业,旗下拥有近30家子公司,在职员工逾千人,经营领域涵盖多个行业,目前主营业务包括:造林营林、林木产品加工与销售、贸易业务、与平潭综合实验区开放开发的有关业务。公司把握改革开放机遇,落实国家可持续发展战略,积极践行“绿水青山就是金山银山”理念,务实求进、转型升级、创新发展,已成为一家稳健发展、管理规范的上市企业。一直以来,公司积极承担历史使命,致力于进一步提升林木资源整体品质,积极探索绿色环保的可持续发展模式,努力实现林木生产规模化、机械化、智能化的现代化进程。生产质量方面,旗下子公司通过了国际上要求甚严的森林认证FSC-COC产销监管链认证、美国CARB/EPA认证、ROHS认证、日本F****认证、REACH检测、EN16516检测、ISO9001质量管理体系认证、ISO14001环境管理体系认证和中国环境标志产品认证,为广大客户提供符合要求的产品,进一步提高了产品竞争力。在造林营林版块,公司目前拥有经营林区近90万亩(含委托代管林地面积)。依托整体产业链优势,公司在林木业务方面已基本形成“林板一体化”的发展产业链,具有互补优势。业务包括:苗木培育、林木种植、林木(苗木)产品销售,能为下辖子公司的纤维板制造提供优质原材料。种苗培育方面,已形成年产杉、阔育苗总量1500万株以上规模,培育的杉、阔苗木极具良种壮苗优势。其中,杉木优势树种林地总面积达22万亩均为公司自有林地,林场种植的杉木种苗已经更新至3.0代。在林木产品加工与销售版块,公司拥有的中高密度纤维板在行业内享有盛誉,是创新力和品质的代名词,并获得“中国木业改革开放领军企业”、“中国木业百强企业”、“福建省农业产业化省级重点龙头企业”荣誉证书。旗下的龙岩中福木业和漳州中福木业获得福建省林业产业化龙头企业和福建省农业产业化省级重点龙头企业称号。其中漳州中福木业有限公司自2016年以来,获得行业内外多项荣誉,如“十大纤维板品牌”、“中国精品人造板”、“中纤板板材优秀企业”、“福建省省级企业技术中心”等。拥有四条中高密度纤维板生产线,年产能超50万立方米,其中包含德国迪芬巴赫先进技术的连续平压生产线,可年产18万立方米中纤板和15万立方米薄型纤维板,达到国内较为领先水平。产品规格丰富,不仅可以生产常规尺寸产品,更能为客户开展个性化定制,可生产厚度低至1mm、高达40mm的特规产品,实实在在地为客户降低成本、提高效能。在1mm-3mm区间特薄板产品中,为提升产品客户满意度,严把质量关,进行了“逐片检验”为产品质量保驾护航。“中福”密度板已经广泛应用于高档家具、品牌钢琴、运动器材、礼盒包装、音响壳体、工艺品、电子线路垫板、车船建筑等各种领域。在生产技术、智能化管理、品牌运营及市场推广具有强大竞争力,客户包括国内众多知名企业:碧桂园旗下现代筑美、尚品宅配、好莱客家居、浙江圣奥、大自然家居、诗尼曼家居等,为市场公认的优秀品牌。公司始终秉承“服务至上,追求卓越”的售后观,赢得新老客户的高度认可,为木业行业的健康化发展做出重大贡献。2011年国务院正式批准《平潭综合实验区总体发展规划》,公司抓住历史机遇,在稳固林木业主业发展的同时,积极投入平潭综合实验区建设开发,参与投建多项平潭开放开发项目,未来公司将继续充分发挥地缘和政策优势,推动平潭综合实验区项目资源的整合与发展。2014年10月公司新增设农资贸易业务,主要向全国各地烟草公司供应烟草化肥;2018年7月新增设木材贸易业务,打通国际原木采购至国内加工厂销售链条。公司将坚持贯彻“稳步提升传统主营业务、优化整合产业结构、开拓发展新增长点”的经营方针,以追求产品的卓越品质为目的,推进功能性产品研发,发挥现有资源优势,与国内科研机构、院校及有关企业进行紧密合作,共同研发引领行业发展潮流的新产品、新技术。同时进一步加强完善企业内部控制和管理水平,不断提高公司规范运作水平及风险防范能力,从经济效益、环境效益、社会效益三者统一的社会责任目标出发,将自身发展愿景与国计民生紧密结合,不断提高企业核心竞争力和品牌影响力,发掘具有社会正效应的利润田地,与市场同进步,与社会共发展,以优质产品和真诚服务赢得客户的信赖,共筑“中福”高端品牌。</w:t>
      </w:r>
    </w:p>
    <w:p/>
    <w:tbl>
      <w:tblPr>
        <w:tblStyle w:val="LightGrid-Accent1"/>
        <w:tblW w:type="auto" w:w="0"/>
        <w:jc w:val="center"/>
        <w:tblLook w:firstColumn="1" w:firstRow="1" w:lastColumn="0" w:lastRow="0" w:noHBand="0" w:noVBand="1" w:val="04A0"/>
      </w:tblPr>
      <w:tblGrid>
        <w:gridCol w:w="4320"/>
        <w:gridCol w:w="4320"/>
      </w:tblGrid>
      <w:tr>
        <w:tc>
          <w:tcPr>
            <w:tcW w:type="dxa" w:w="4320"/>
          </w:tcPr>
          <w:p>
            <w:r/>
            <w:r>
              <w:rPr>
                <w:b/>
                <w:sz w:val="20"/>
              </w:rPr>
              <w:t>公司名称</w:t>
            </w:r>
          </w:p>
        </w:tc>
        <w:tc>
          <w:tcPr>
            <w:tcW w:type="dxa" w:w="4320"/>
          </w:tcPr>
          <w:p>
            <w:r/>
            <w:r>
              <w:rPr>
                <w:sz w:val="20"/>
              </w:rPr>
              <w:t>平潭发展</w:t>
            </w:r>
          </w:p>
        </w:tc>
      </w:tr>
      <w:tr>
        <w:tc>
          <w:tcPr>
            <w:tcW w:type="dxa" w:w="4320"/>
          </w:tcPr>
          <w:p>
            <w:r/>
            <w:r>
              <w:rPr>
                <w:b/>
                <w:sz w:val="20"/>
              </w:rPr>
              <w:t>股票代码</w:t>
            </w:r>
          </w:p>
        </w:tc>
        <w:tc>
          <w:tcPr>
            <w:tcW w:type="dxa" w:w="4320"/>
          </w:tcPr>
          <w:p>
            <w:r/>
            <w:r>
              <w:rPr>
                <w:sz w:val="20"/>
              </w:rPr>
              <w:t>000592.SZ</w:t>
            </w:r>
          </w:p>
        </w:tc>
      </w:tr>
      <w:tr>
        <w:tc>
          <w:tcPr>
            <w:tcW w:type="dxa" w:w="4320"/>
          </w:tcPr>
          <w:p>
            <w:r/>
            <w:r>
              <w:rPr>
                <w:b/>
                <w:sz w:val="20"/>
              </w:rPr>
              <w:t>市场</w:t>
            </w:r>
          </w:p>
        </w:tc>
        <w:tc>
          <w:tcPr>
            <w:tcW w:type="dxa" w:w="4320"/>
          </w:tcPr>
          <w:p>
            <w:r/>
            <w:r>
              <w:rPr>
                <w:sz w:val="20"/>
              </w:rPr>
              <w:t>cn</w:t>
            </w:r>
          </w:p>
        </w:tc>
      </w:tr>
      <w:tr>
        <w:tc>
          <w:tcPr>
            <w:tcW w:type="dxa" w:w="4320"/>
          </w:tcPr>
          <w:p>
            <w:r/>
            <w:r>
              <w:rPr>
                <w:b/>
                <w:sz w:val="20"/>
              </w:rPr>
              <w:t>行业</w:t>
            </w:r>
          </w:p>
        </w:tc>
        <w:tc>
          <w:tcPr>
            <w:tcW w:type="dxa" w:w="4320"/>
          </w:tcPr>
          <w:p>
            <w:r/>
            <w:r>
              <w:rPr>
                <w:sz w:val="20"/>
              </w:rPr>
              <w:t>林业Ⅱ</w:t>
            </w:r>
          </w:p>
        </w:tc>
      </w:tr>
      <w:tr>
        <w:tc>
          <w:tcPr>
            <w:tcW w:type="dxa" w:w="4320"/>
          </w:tcPr>
          <w:p>
            <w:r/>
            <w:r>
              <w:rPr>
                <w:b/>
                <w:sz w:val="20"/>
              </w:rPr>
              <w:t>上市日期</w:t>
            </w:r>
          </w:p>
        </w:tc>
        <w:tc>
          <w:tcPr>
            <w:tcW w:type="dxa" w:w="4320"/>
          </w:tcPr>
          <w:p>
            <w:r/>
            <w:r>
              <w:rPr>
                <w:sz w:val="20"/>
              </w:rPr>
              <w:t>≈1992（最早报告期 1992-12-31 推断，无免费直接源）</w:t>
            </w:r>
          </w:p>
        </w:tc>
      </w:tr>
      <w:tr>
        <w:tc>
          <w:tcPr>
            <w:tcW w:type="dxa" w:w="4320"/>
          </w:tcPr>
          <w:p>
            <w:r/>
            <w:r>
              <w:rPr>
                <w:b/>
                <w:sz w:val="20"/>
              </w:rPr>
              <w:t>总部所在地</w:t>
            </w:r>
          </w:p>
        </w:tc>
        <w:tc>
          <w:tcPr>
            <w:tcW w:type="dxa" w:w="4320"/>
          </w:tcPr>
          <w:p>
            <w:r/>
            <w:r>
              <w:rPr>
                <w:sz w:val="20"/>
              </w:rPr>
              <w:t>福建 福建省福州市鼓楼区五四路159号世界金龙大厦23层</w:t>
            </w:r>
          </w:p>
        </w:tc>
      </w:tr>
    </w:tbl>
    <w:p/>
    <w:p>
      <w:pPr/>
      <w:r>
        <w:rPr>
          <w:b/>
          <w:color w:val="1A3C6E"/>
          <w:sz w:val="32"/>
        </w:rPr>
        <w:t>2. 财务分析</w:t>
      </w:r>
    </w:p>
    <w:p/>
    <w:tbl>
      <w:tblPr>
        <w:tblStyle w:val="LightGrid-Accent1"/>
        <w:tblW w:type="auto" w:w="0"/>
        <w:jc w:val="center"/>
        <w:tblLook w:firstColumn="1" w:firstRow="1" w:lastColumn="0" w:lastRow="0" w:noHBand="0" w:noVBand="1" w:val="04A0"/>
      </w:tblPr>
      <w:tblGrid>
        <w:gridCol w:w="4320"/>
        <w:gridCol w:w="4320"/>
      </w:tblGrid>
      <w:tr>
        <w:tc>
          <w:tcPr>
            <w:tcW w:type="dxa" w:w="4320"/>
          </w:tcPr>
          <w:p>
            <w:r/>
            <w:r>
              <w:rPr>
                <w:b/>
                <w:sz w:val="20"/>
              </w:rPr>
              <w:t>营收趋势（同比）</w:t>
            </w:r>
          </w:p>
        </w:tc>
        <w:tc>
          <w:tcPr>
            <w:tcW w:type="dxa" w:w="4320"/>
          </w:tcPr>
          <w:p>
            <w:r/>
            <w:r>
              <w:rPr>
                <w:sz w:val="20"/>
              </w:rPr>
              <w:t>同比 -35.1%（报告期 2026-06-30）</w:t>
            </w:r>
          </w:p>
        </w:tc>
      </w:tr>
      <w:tr>
        <w:tc>
          <w:tcPr>
            <w:tcW w:type="dxa" w:w="4320"/>
          </w:tcPr>
          <w:p>
            <w:r/>
            <w:r>
              <w:rPr>
                <w:b/>
                <w:sz w:val="20"/>
              </w:rPr>
              <w:t>净利润趋势（同比）</w:t>
            </w:r>
          </w:p>
        </w:tc>
        <w:tc>
          <w:tcPr>
            <w:tcW w:type="dxa" w:w="4320"/>
          </w:tcPr>
          <w:p>
            <w:r/>
            <w:r>
              <w:rPr>
                <w:sz w:val="20"/>
              </w:rPr>
              <w:t>同比 -560.5%（报告期 2026-06-30）</w:t>
            </w:r>
          </w:p>
        </w:tc>
      </w:tr>
      <w:tr>
        <w:tc>
          <w:tcPr>
            <w:tcW w:type="dxa" w:w="4320"/>
          </w:tcPr>
          <w:p>
            <w:r/>
            <w:r>
              <w:rPr>
                <w:b/>
                <w:sz w:val="20"/>
              </w:rPr>
              <w:t>ROE (TTM)</w:t>
            </w:r>
          </w:p>
        </w:tc>
        <w:tc>
          <w:tcPr>
            <w:tcW w:type="dxa" w:w="4320"/>
          </w:tcPr>
          <w:p>
            <w:r/>
            <w:r>
              <w:rPr>
                <w:sz w:val="20"/>
              </w:rPr>
              <w:t>-3.99%</w:t>
            </w:r>
          </w:p>
        </w:tc>
      </w:tr>
      <w:tr>
        <w:tc>
          <w:tcPr>
            <w:tcW w:type="dxa" w:w="4320"/>
          </w:tcPr>
          <w:p>
            <w:r/>
            <w:r>
              <w:rPr>
                <w:b/>
                <w:sz w:val="20"/>
              </w:rPr>
              <w:t>ROA (TTM)</w:t>
            </w:r>
          </w:p>
        </w:tc>
        <w:tc>
          <w:tcPr>
            <w:tcW w:type="dxa" w:w="4320"/>
          </w:tcPr>
          <w:p>
            <w:r/>
            <w:r>
              <w:rPr>
                <w:sz w:val="20"/>
              </w:rPr>
              <w:t>-5.43%</w:t>
            </w:r>
          </w:p>
        </w:tc>
      </w:tr>
      <w:tr>
        <w:tc>
          <w:tcPr>
            <w:tcW w:type="dxa" w:w="4320"/>
          </w:tcPr>
          <w:p>
            <w:r/>
            <w:r>
              <w:rPr>
                <w:b/>
                <w:sz w:val="20"/>
              </w:rPr>
              <w:t>毛利率 (TTM)</w:t>
            </w:r>
          </w:p>
        </w:tc>
        <w:tc>
          <w:tcPr>
            <w:tcW w:type="dxa" w:w="4320"/>
          </w:tcPr>
          <w:p>
            <w:r/>
            <w:r>
              <w:rPr>
                <w:sz w:val="20"/>
              </w:rPr>
              <w:t>7.89%</w:t>
            </w:r>
          </w:p>
        </w:tc>
      </w:tr>
      <w:tr>
        <w:tc>
          <w:tcPr>
            <w:tcW w:type="dxa" w:w="4320"/>
          </w:tcPr>
          <w:p>
            <w:r/>
            <w:r>
              <w:rPr>
                <w:b/>
                <w:sz w:val="20"/>
              </w:rPr>
              <w:t>净利率 (TTM)</w:t>
            </w:r>
          </w:p>
        </w:tc>
        <w:tc>
          <w:tcPr>
            <w:tcW w:type="dxa" w:w="4320"/>
          </w:tcPr>
          <w:p>
            <w:r/>
            <w:r>
              <w:rPr>
                <w:sz w:val="20"/>
              </w:rPr>
              <w:t>-33.67%</w:t>
            </w:r>
          </w:p>
        </w:tc>
      </w:tr>
      <w:tr>
        <w:tc>
          <w:tcPr>
            <w:tcW w:type="dxa" w:w="4320"/>
          </w:tcPr>
          <w:p>
            <w:r/>
            <w:r>
              <w:rPr>
                <w:b/>
                <w:sz w:val="20"/>
              </w:rPr>
              <w:t>负债权益比 (MRQ)</w:t>
            </w:r>
          </w:p>
        </w:tc>
        <w:tc>
          <w:tcPr>
            <w:tcW w:type="dxa" w:w="4320"/>
          </w:tcPr>
          <w:p>
            <w:r/>
            <w:r>
              <w:rPr>
                <w:sz w:val="20"/>
              </w:rPr>
              <w:t>0.6487</w:t>
            </w:r>
          </w:p>
        </w:tc>
      </w:tr>
      <w:tr>
        <w:tc>
          <w:tcPr>
            <w:tcW w:type="dxa" w:w="4320"/>
          </w:tcPr>
          <w:p>
            <w:r/>
            <w:r>
              <w:rPr>
                <w:b/>
                <w:sz w:val="20"/>
              </w:rPr>
              <w:t>经营现金流质量 (TTM)</w:t>
            </w:r>
          </w:p>
        </w:tc>
        <w:tc>
          <w:tcPr>
            <w:tcW w:type="dxa" w:w="4320"/>
          </w:tcPr>
          <w:p>
            <w:r/>
            <w:r>
              <w:rPr>
                <w:sz w:val="20"/>
              </w:rPr>
              <w:t>无数据</w:t>
            </w:r>
          </w:p>
        </w:tc>
      </w:tr>
    </w:tbl>
    <w:p/>
    <w:p>
      <w:pPr/>
      <w:r>
        <w:rPr>
          <w:b/>
          <w:color w:val="1A3C6E"/>
          <w:sz w:val="32"/>
        </w:rPr>
        <w:t>3. 估值分析</w:t>
      </w:r>
    </w:p>
    <w:p/>
    <w:tbl>
      <w:tblPr>
        <w:tblStyle w:val="LightGrid-Accent1"/>
        <w:tblW w:type="auto" w:w="0"/>
        <w:jc w:val="center"/>
        <w:tblLook w:firstColumn="1" w:firstRow="1" w:lastColumn="0" w:lastRow="0" w:noHBand="0" w:noVBand="1" w:val="04A0"/>
      </w:tblPr>
      <w:tblGrid>
        <w:gridCol w:w="4320"/>
        <w:gridCol w:w="4320"/>
      </w:tblGrid>
      <w:tr>
        <w:tc>
          <w:tcPr>
            <w:tcW w:type="dxa" w:w="4320"/>
          </w:tcPr>
          <w:p>
            <w:r/>
            <w:r>
              <w:rPr>
                <w:b/>
                <w:sz w:val="20"/>
              </w:rPr>
              <w:t>市盈率 (TTM)</w:t>
            </w:r>
          </w:p>
        </w:tc>
        <w:tc>
          <w:tcPr>
            <w:tcW w:type="dxa" w:w="4320"/>
          </w:tcPr>
          <w:p>
            <w:r/>
            <w:r>
              <w:rPr>
                <w:sz w:val="20"/>
              </w:rPr>
              <w:t>-104.14</w:t>
            </w:r>
          </w:p>
        </w:tc>
      </w:tr>
      <w:tr>
        <w:tc>
          <w:tcPr>
            <w:tcW w:type="dxa" w:w="4320"/>
          </w:tcPr>
          <w:p>
            <w:r/>
            <w:r>
              <w:rPr>
                <w:b/>
                <w:sz w:val="20"/>
              </w:rPr>
              <w:t>市净率 (MRQ)</w:t>
            </w:r>
          </w:p>
        </w:tc>
        <w:tc>
          <w:tcPr>
            <w:tcW w:type="dxa" w:w="4320"/>
          </w:tcPr>
          <w:p>
            <w:r/>
            <w:r>
              <w:rPr>
                <w:sz w:val="20"/>
              </w:rPr>
              <w:t>8.49</w:t>
            </w:r>
          </w:p>
        </w:tc>
      </w:tr>
      <w:tr>
        <w:tc>
          <w:tcPr>
            <w:tcW w:type="dxa" w:w="4320"/>
          </w:tcPr>
          <w:p>
            <w:r/>
            <w:r>
              <w:rPr>
                <w:b/>
                <w:sz w:val="20"/>
              </w:rPr>
              <w:t>EV / Revenue</w:t>
            </w:r>
          </w:p>
        </w:tc>
        <w:tc>
          <w:tcPr>
            <w:tcW w:type="dxa" w:w="4320"/>
          </w:tcPr>
          <w:p>
            <w:r/>
            <w:r>
              <w:rPr>
                <w:sz w:val="20"/>
              </w:rPr>
              <w:t>—</w:t>
            </w:r>
          </w:p>
        </w:tc>
      </w:tr>
      <w:tr>
        <w:tc>
          <w:tcPr>
            <w:tcW w:type="dxa" w:w="4320"/>
          </w:tcPr>
          <w:p>
            <w:r/>
            <w:r>
              <w:rPr>
                <w:b/>
                <w:sz w:val="20"/>
              </w:rPr>
              <w:t>EV / EBITDA</w:t>
            </w:r>
          </w:p>
        </w:tc>
        <w:tc>
          <w:tcPr>
            <w:tcW w:type="dxa" w:w="4320"/>
          </w:tcPr>
          <w:p>
            <w:r/>
            <w:r>
              <w:rPr>
                <w:sz w:val="20"/>
              </w:rPr>
              <w:t>—</w:t>
            </w:r>
          </w:p>
        </w:tc>
      </w:tr>
      <w:tr>
        <w:tc>
          <w:tcPr>
            <w:tcW w:type="dxa" w:w="4320"/>
          </w:tcPr>
          <w:p>
            <w:r/>
            <w:r>
              <w:rPr>
                <w:b/>
                <w:sz w:val="20"/>
              </w:rPr>
              <w:t>PEG比率 (TTM)</w:t>
            </w:r>
          </w:p>
        </w:tc>
        <w:tc>
          <w:tcPr>
            <w:tcW w:type="dxa" w:w="4320"/>
          </w:tcPr>
          <w:p>
            <w:r/>
            <w:r>
              <w:rPr>
                <w:sz w:val="20"/>
              </w:rPr>
              <w:t>Neg. Earnings</w:t>
            </w:r>
          </w:p>
        </w:tc>
      </w:tr>
      <w:tr>
        <w:tc>
          <w:tcPr>
            <w:tcW w:type="dxa" w:w="4320"/>
          </w:tcPr>
          <w:p>
            <w:r/>
            <w:r>
              <w:rPr>
                <w:b/>
                <w:sz w:val="20"/>
              </w:rPr>
              <w:t>PE 1年分位</w:t>
            </w:r>
          </w:p>
        </w:tc>
        <w:tc>
          <w:tcPr>
            <w:tcW w:type="dxa" w:w="4320"/>
          </w:tcPr>
          <w:p>
            <w:r/>
            <w:r>
              <w:rPr>
                <w:sz w:val="20"/>
              </w:rPr>
              <w:t>—</w:t>
            </w:r>
          </w:p>
        </w:tc>
      </w:tr>
      <w:tr>
        <w:tc>
          <w:tcPr>
            <w:tcW w:type="dxa" w:w="4320"/>
          </w:tcPr>
          <w:p>
            <w:r/>
            <w:r>
              <w:rPr>
                <w:b/>
                <w:sz w:val="20"/>
              </w:rPr>
              <w:t>PE 3年分位</w:t>
            </w:r>
          </w:p>
        </w:tc>
        <w:tc>
          <w:tcPr>
            <w:tcW w:type="dxa" w:w="4320"/>
          </w:tcPr>
          <w:p>
            <w:r/>
            <w:r>
              <w:rPr>
                <w:sz w:val="20"/>
              </w:rPr>
              <w:t>—</w:t>
            </w:r>
          </w:p>
        </w:tc>
      </w:tr>
      <w:tr>
        <w:tc>
          <w:tcPr>
            <w:tcW w:type="dxa" w:w="4320"/>
          </w:tcPr>
          <w:p>
            <w:r/>
            <w:r>
              <w:rPr>
                <w:b/>
                <w:sz w:val="20"/>
              </w:rPr>
              <w:t>PE 5年分位</w:t>
            </w:r>
          </w:p>
        </w:tc>
        <w:tc>
          <w:tcPr>
            <w:tcW w:type="dxa" w:w="4320"/>
          </w:tcPr>
          <w:p>
            <w:r/>
            <w:r>
              <w:rPr>
                <w:sz w:val="20"/>
              </w:rPr>
              <w:t>0%</w:t>
            </w:r>
          </w:p>
        </w:tc>
      </w:tr>
    </w:tbl>
    <w:p/>
    <w:p/>
    <w:p>
      <w:pPr>
        <w:jc w:val="center"/>
      </w:pPr>
      <w:r>
        <w:drawing>
          <wp:inline xmlns:a="http://schemas.openxmlformats.org/drawingml/2006/main" xmlns:pic="http://schemas.openxmlformats.org/drawingml/2006/picture">
            <wp:extent cx="5029200" cy="2122764"/>
            <wp:docPr id="1" name="Picture 1"/>
            <wp:cNvGraphicFramePr>
              <a:graphicFrameLocks noChangeAspect="1"/>
            </wp:cNvGraphicFramePr>
            <a:graphic>
              <a:graphicData uri="http://schemas.openxmlformats.org/drawingml/2006/picture">
                <pic:pic>
                  <pic:nvPicPr>
                    <pic:cNvPr id="0" name="000592.SZ_price.png"/>
                    <pic:cNvPicPr/>
                  </pic:nvPicPr>
                  <pic:blipFill>
                    <a:blip r:embed="rId9"/>
                    <a:stretch>
                      <a:fillRect/>
                    </a:stretch>
                  </pic:blipFill>
                  <pic:spPr>
                    <a:xfrm>
                      <a:off x="0" y="0"/>
                      <a:ext cx="5029200" cy="2122764"/>
                    </a:xfrm>
                    <a:prstGeom prst="rect"/>
                  </pic:spPr>
                </pic:pic>
              </a:graphicData>
            </a:graphic>
          </wp:inline>
        </w:drawing>
      </w:r>
    </w:p>
    <w:p>
      <w:pPr/>
      <w:r>
        <w:rPr>
          <w:b/>
          <w:color w:val="1A3C6E"/>
          <w:sz w:val="32"/>
        </w:rPr>
        <w:t>4. 市场与情绪分析</w:t>
      </w:r>
    </w:p>
    <w:p/>
    <w:tbl>
      <w:tblPr>
        <w:tblStyle w:val="LightGrid-Accent1"/>
        <w:tblW w:type="auto" w:w="0"/>
        <w:jc w:val="center"/>
        <w:tblLook w:firstColumn="1" w:firstRow="1" w:lastColumn="0" w:lastRow="0" w:noHBand="0" w:noVBand="1" w:val="04A0"/>
      </w:tblPr>
      <w:tblGrid>
        <w:gridCol w:w="4320"/>
        <w:gridCol w:w="4320"/>
      </w:tblGrid>
      <w:tr>
        <w:tc>
          <w:tcPr>
            <w:tcW w:type="dxa" w:w="4320"/>
          </w:tcPr>
          <w:p>
            <w:r/>
            <w:r>
              <w:rPr>
                <w:b/>
                <w:sz w:val="20"/>
              </w:rPr>
              <w:t>1月回报</w:t>
            </w:r>
          </w:p>
        </w:tc>
        <w:tc>
          <w:tcPr>
            <w:tcW w:type="dxa" w:w="4320"/>
          </w:tcPr>
          <w:p>
            <w:r/>
            <w:r>
              <w:rPr>
                <w:sz w:val="20"/>
              </w:rPr>
              <w:t>12.46%</w:t>
            </w:r>
          </w:p>
        </w:tc>
      </w:tr>
      <w:tr>
        <w:tc>
          <w:tcPr>
            <w:tcW w:type="dxa" w:w="4320"/>
          </w:tcPr>
          <w:p>
            <w:r/>
            <w:r>
              <w:rPr>
                <w:b/>
                <w:sz w:val="20"/>
              </w:rPr>
              <w:t>3月回报</w:t>
            </w:r>
          </w:p>
        </w:tc>
        <w:tc>
          <w:tcPr>
            <w:tcW w:type="dxa" w:w="4320"/>
          </w:tcPr>
          <w:p>
            <w:r/>
            <w:r>
              <w:rPr>
                <w:sz w:val="20"/>
              </w:rPr>
              <w:t>-3.97%</w:t>
            </w:r>
          </w:p>
        </w:tc>
      </w:tr>
      <w:tr>
        <w:tc>
          <w:tcPr>
            <w:tcW w:type="dxa" w:w="4320"/>
          </w:tcPr>
          <w:p>
            <w:r/>
            <w:r>
              <w:rPr>
                <w:b/>
                <w:sz w:val="20"/>
              </w:rPr>
              <w:t>6月回报</w:t>
            </w:r>
          </w:p>
        </w:tc>
        <w:tc>
          <w:tcPr>
            <w:tcW w:type="dxa" w:w="4320"/>
          </w:tcPr>
          <w:p>
            <w:r/>
            <w:r>
              <w:rPr>
                <w:sz w:val="20"/>
              </w:rPr>
              <w:t>-38.61%</w:t>
            </w:r>
          </w:p>
        </w:tc>
      </w:tr>
      <w:tr>
        <w:tc>
          <w:tcPr>
            <w:tcW w:type="dxa" w:w="4320"/>
          </w:tcPr>
          <w:p>
            <w:r/>
            <w:r>
              <w:rPr>
                <w:b/>
                <w:sz w:val="20"/>
              </w:rPr>
              <w:t>12月回报</w:t>
            </w:r>
          </w:p>
        </w:tc>
        <w:tc>
          <w:tcPr>
            <w:tcW w:type="dxa" w:w="4320"/>
          </w:tcPr>
          <w:p>
            <w:r/>
            <w:r>
              <w:rPr>
                <w:sz w:val="20"/>
              </w:rPr>
              <w:t>144.77%</w:t>
            </w:r>
          </w:p>
        </w:tc>
      </w:tr>
      <w:tr>
        <w:tc>
          <w:tcPr>
            <w:tcW w:type="dxa" w:w="4320"/>
          </w:tcPr>
          <w:p>
            <w:r/>
            <w:r>
              <w:rPr>
                <w:b/>
                <w:sz w:val="20"/>
              </w:rPr>
              <w:t>成交量趋势（1年对比）</w:t>
            </w:r>
          </w:p>
        </w:tc>
        <w:tc>
          <w:tcPr>
            <w:tcW w:type="dxa" w:w="4320"/>
          </w:tcPr>
          <w:p>
            <w:r/>
            <w:r>
              <w:rPr>
                <w:sz w:val="20"/>
              </w:rPr>
              <w:t>放量 39.7%（近21日均量 vs 前21日）</w:t>
            </w:r>
          </w:p>
        </w:tc>
      </w:tr>
      <w:tr>
        <w:tc>
          <w:tcPr>
            <w:tcW w:type="dxa" w:w="4320"/>
          </w:tcPr>
          <w:p>
            <w:r/>
            <w:r>
              <w:rPr>
                <w:b/>
                <w:sz w:val="20"/>
              </w:rPr>
              <w:t>新闻舆情（30日）</w:t>
            </w:r>
          </w:p>
        </w:tc>
        <w:tc>
          <w:tcPr>
            <w:tcW w:type="dxa" w:w="4320"/>
          </w:tcPr>
          <w:p>
            <w:r/>
            <w:r>
              <w:rPr>
                <w:sz w:val="20"/>
              </w:rPr>
              <w:t>2026-09-04 首板涨停（10:43:03封板，封单资金 1.53 亿），短线关注度上升；行业（林业Ⅱ）板块联动。基于东财涨停池数据，非新闻聚合。</w:t>
            </w:r>
          </w:p>
        </w:tc>
      </w:tr>
    </w:tbl>
    <w:p/>
    <w:p/>
    <w:p>
      <w:pPr>
        <w:jc w:val="center"/>
      </w:pPr>
      <w:r>
        <w:drawing>
          <wp:inline xmlns:a="http://schemas.openxmlformats.org/drawingml/2006/main" xmlns:pic="http://schemas.openxmlformats.org/drawingml/2006/picture">
            <wp:extent cx="5029200" cy="1839121"/>
            <wp:docPr id="2" name="Picture 2"/>
            <wp:cNvGraphicFramePr>
              <a:graphicFrameLocks noChangeAspect="1"/>
            </wp:cNvGraphicFramePr>
            <a:graphic>
              <a:graphicData uri="http://schemas.openxmlformats.org/drawingml/2006/picture">
                <pic:pic>
                  <pic:nvPicPr>
                    <pic:cNvPr id="0" name="000592.SZ_monthly.png"/>
                    <pic:cNvPicPr/>
                  </pic:nvPicPr>
                  <pic:blipFill>
                    <a:blip r:embed="rId10"/>
                    <a:stretch>
                      <a:fillRect/>
                    </a:stretch>
                  </pic:blipFill>
                  <pic:spPr>
                    <a:xfrm>
                      <a:off x="0" y="0"/>
                      <a:ext cx="5029200" cy="1839121"/>
                    </a:xfrm>
                    <a:prstGeom prst="rect"/>
                  </pic:spPr>
                </pic:pic>
              </a:graphicData>
            </a:graphic>
          </wp:inline>
        </w:drawing>
      </w:r>
    </w:p>
    <w:p/>
    <w:p>
      <w:pPr>
        <w:jc w:val="center"/>
      </w:pPr>
      <w:r>
        <w:drawing>
          <wp:inline xmlns:a="http://schemas.openxmlformats.org/drawingml/2006/main" xmlns:pic="http://schemas.openxmlformats.org/drawingml/2006/picture">
            <wp:extent cx="4389120" cy="1865065"/>
            <wp:docPr id="3" name="Picture 3"/>
            <wp:cNvGraphicFramePr>
              <a:graphicFrameLocks noChangeAspect="1"/>
            </wp:cNvGraphicFramePr>
            <a:graphic>
              <a:graphicData uri="http://schemas.openxmlformats.org/drawingml/2006/picture">
                <pic:pic>
                  <pic:nvPicPr>
                    <pic:cNvPr id="0" name="000592.SZ_yearly.png"/>
                    <pic:cNvPicPr/>
                  </pic:nvPicPr>
                  <pic:blipFill>
                    <a:blip r:embed="rId11"/>
                    <a:stretch>
                      <a:fillRect/>
                    </a:stretch>
                  </pic:blipFill>
                  <pic:spPr>
                    <a:xfrm>
                      <a:off x="0" y="0"/>
                      <a:ext cx="4389120" cy="1865065"/>
                    </a:xfrm>
                    <a:prstGeom prst="rect"/>
                  </pic:spPr>
                </pic:pic>
              </a:graphicData>
            </a:graphic>
          </wp:inline>
        </w:drawing>
      </w:r>
    </w:p>
    <w:p>
      <w:pPr/>
      <w:r>
        <w:rPr>
          <w:b/>
          <w:color w:val="1A3C6E"/>
          <w:sz w:val="32"/>
        </w:rPr>
        <w:t>5. 风险评估</w:t>
      </w:r>
    </w:p>
    <w:p/>
    <w:tbl>
      <w:tblPr>
        <w:tblStyle w:val="LightGrid-Accent1"/>
        <w:tblW w:type="auto" w:w="0"/>
        <w:jc w:val="center"/>
        <w:tblLook w:firstColumn="1" w:firstRow="1" w:lastColumn="0" w:lastRow="0" w:noHBand="0" w:noVBand="1" w:val="04A0"/>
      </w:tblPr>
      <w:tblGrid>
        <w:gridCol w:w="2880"/>
        <w:gridCol w:w="2880"/>
        <w:gridCol w:w="2880"/>
      </w:tblGrid>
      <w:tr>
        <w:tc>
          <w:tcPr>
            <w:tcW w:type="dxa" w:w="2880"/>
          </w:tcPr>
          <w:p>
            <w:r>
              <w:rPr>
                <w:b/>
              </w:rPr>
              <w:t>风险因素</w:t>
            </w:r>
          </w:p>
        </w:tc>
        <w:tc>
          <w:tcPr>
            <w:tcW w:type="dxa" w:w="2880"/>
          </w:tcPr>
          <w:p>
            <w:r>
              <w:rPr>
                <w:b/>
              </w:rPr>
              <w:t>级别</w:t>
            </w:r>
          </w:p>
        </w:tc>
        <w:tc>
          <w:tcPr>
            <w:tcW w:type="dxa" w:w="2880"/>
          </w:tcPr>
          <w:p>
            <w:r>
              <w:rPr>
                <w:b/>
              </w:rPr>
              <w:t>缓解因素</w:t>
            </w:r>
          </w:p>
        </w:tc>
      </w:tr>
      <w:tr>
        <w:tc>
          <w:tcPr>
            <w:tcW w:type="dxa" w:w="2880"/>
          </w:tcPr>
          <w:p>
            <w:r>
              <w:t>短线交易风险：2026-09-04 首板涨停（10:43:03封板），情绪驱动成分高</w:t>
            </w:r>
          </w:p>
        </w:tc>
        <w:tc>
          <w:tcPr>
            <w:tcW w:type="dxa" w:w="2880"/>
            <w:shd w:fill="FFCCCC" w:val="clear"/>
          </w:tcPr>
          <w:p>
            <w:r>
              <w:t>High</w:t>
            </w:r>
          </w:p>
        </w:tc>
        <w:tc>
          <w:tcPr>
            <w:tcW w:type="dxa" w:w="2880"/>
          </w:tcPr>
          <w:p>
            <w:r>
              <w:t>本报告为 6–18 个月长期视角，不建议涨停次日追高；等待情绪回落后再评估入场点</w:t>
            </w:r>
          </w:p>
        </w:tc>
      </w:tr>
      <w:tr>
        <w:tc>
          <w:tcPr>
            <w:tcW w:type="dxa" w:w="2880"/>
          </w:tcPr>
          <w:p>
            <w:r>
              <w:t>股权质押风险：质押占流通盘 5.0%（CSDC）</w:t>
            </w:r>
          </w:p>
        </w:tc>
        <w:tc>
          <w:tcPr>
            <w:tcW w:type="dxa" w:w="2880"/>
            <w:shd w:fill="D4EDDA" w:val="clear"/>
          </w:tcPr>
          <w:p>
            <w:r>
              <w:t>Low</w:t>
            </w:r>
          </w:p>
        </w:tc>
        <w:tc>
          <w:tcPr>
            <w:tcW w:type="dxa" w:w="2880"/>
          </w:tcPr>
          <w:p>
            <w:r>
              <w:t>质押比例低</w:t>
            </w:r>
          </w:p>
        </w:tc>
      </w:tr>
      <w:tr>
        <w:tc>
          <w:tcPr>
            <w:tcW w:type="dxa" w:w="2880"/>
          </w:tcPr>
          <w:p>
            <w:r>
              <w:t>业绩下滑风险：最新报告期归母净利同比 -560.5%</w:t>
            </w:r>
          </w:p>
        </w:tc>
        <w:tc>
          <w:tcPr>
            <w:tcW w:type="dxa" w:w="2880"/>
            <w:shd w:fill="FFCCCC" w:val="clear"/>
          </w:tcPr>
          <w:p>
            <w:r>
              <w:t>High</w:t>
            </w:r>
          </w:p>
        </w:tc>
        <w:tc>
          <w:tcPr>
            <w:tcW w:type="dxa" w:w="2880"/>
          </w:tcPr>
          <w:p>
            <w:r>
              <w:t>以季报验证拐点；若连续两期下滑应下修评级</w:t>
            </w:r>
          </w:p>
        </w:tc>
      </w:tr>
      <w:tr>
        <w:tc>
          <w:tcPr>
            <w:tcW w:type="dxa" w:w="2880"/>
          </w:tcPr>
          <w:p>
            <w:r>
              <w:t>最新报告期归母净利为负（亏损）</w:t>
            </w:r>
          </w:p>
        </w:tc>
        <w:tc>
          <w:tcPr>
            <w:tcW w:type="dxa" w:w="2880"/>
            <w:shd w:fill="FFCCCC" w:val="clear"/>
          </w:tcPr>
          <w:p>
            <w:r>
              <w:t>High</w:t>
            </w:r>
          </w:p>
        </w:tc>
        <w:tc>
          <w:tcPr>
            <w:tcW w:type="dxa" w:w="2880"/>
          </w:tcPr>
          <w:p>
            <w:r>
              <w:t>评估扭亏路径与现金流覆盖能力</w:t>
            </w:r>
          </w:p>
        </w:tc>
      </w:tr>
    </w:tbl>
    <w:p/>
    <w:p>
      <w:pPr/>
      <w:r>
        <w:rPr>
          <w:b/>
          <w:color w:val="1A3C6E"/>
          <w:sz w:val="32"/>
        </w:rPr>
        <w:t>6. 长期投资决策</w:t>
      </w:r>
    </w:p>
    <w:p/>
    <w:tbl>
      <w:tblPr>
        <w:tblStyle w:val="LightGrid-Accent1"/>
        <w:tblW w:type="auto" w:w="0"/>
        <w:jc w:val="center"/>
        <w:tblLook w:firstColumn="1" w:firstRow="1" w:lastColumn="0" w:lastRow="0" w:noHBand="0" w:noVBand="1" w:val="04A0"/>
      </w:tblPr>
      <w:tblGrid>
        <w:gridCol w:w="2160"/>
        <w:gridCol w:w="2160"/>
        <w:gridCol w:w="2160"/>
        <w:gridCol w:w="2160"/>
      </w:tblGrid>
      <w:tr>
        <w:tc>
          <w:tcPr>
            <w:tcW w:type="dxa" w:w="2160"/>
          </w:tcPr>
          <w:p>
            <w:r/>
            <w:r>
              <w:rPr>
                <w:b/>
                <w:sz w:val="20"/>
              </w:rPr>
              <w:t>维度</w:t>
            </w:r>
          </w:p>
        </w:tc>
        <w:tc>
          <w:tcPr>
            <w:tcW w:type="dxa" w:w="2160"/>
          </w:tcPr>
          <w:p>
            <w:r/>
            <w:r>
              <w:rPr>
                <w:b/>
                <w:sz w:val="20"/>
              </w:rPr>
              <w:t>权重</w:t>
            </w:r>
          </w:p>
        </w:tc>
        <w:tc>
          <w:tcPr>
            <w:tcW w:type="dxa" w:w="2160"/>
          </w:tcPr>
          <w:p>
            <w:r/>
            <w:r>
              <w:rPr>
                <w:b/>
                <w:sz w:val="20"/>
              </w:rPr>
              <w:t>得分 (1–10)</w:t>
            </w:r>
          </w:p>
        </w:tc>
        <w:tc>
          <w:tcPr>
            <w:tcW w:type="dxa" w:w="2160"/>
          </w:tcPr>
          <w:p>
            <w:r/>
            <w:r>
              <w:rPr>
                <w:b/>
                <w:sz w:val="20"/>
              </w:rPr>
              <w:t>理由</w:t>
            </w:r>
          </w:p>
        </w:tc>
      </w:tr>
      <w:tr>
        <w:tc>
          <w:tcPr>
            <w:tcW w:type="dxa" w:w="2160"/>
          </w:tcPr>
          <w:p>
            <w:r/>
            <w:r>
              <w:rPr>
                <w:b/>
                <w:sz w:val="20"/>
              </w:rPr>
              <w:t>财务健康</w:t>
            </w:r>
          </w:p>
        </w:tc>
        <w:tc>
          <w:tcPr>
            <w:tcW w:type="dxa" w:w="2160"/>
          </w:tcPr>
          <w:p>
            <w:r/>
            <w:r>
              <w:rPr>
                <w:sz w:val="20"/>
              </w:rPr>
              <w:t>20%</w:t>
            </w:r>
          </w:p>
        </w:tc>
        <w:tc>
          <w:tcPr>
            <w:tcW w:type="dxa" w:w="2160"/>
          </w:tcPr>
          <w:p>
            <w:r/>
            <w:r>
              <w:rPr>
                <w:sz w:val="20"/>
              </w:rPr>
              <w:t>4</w:t>
            </w:r>
          </w:p>
        </w:tc>
        <w:tc>
          <w:tcPr>
            <w:tcW w:type="dxa" w:w="2160"/>
          </w:tcPr>
          <w:p>
            <w:r/>
            <w:r>
              <w:rPr>
                <w:sz w:val="20"/>
              </w:rPr>
              <w:t>财务指标中性。</w:t>
            </w:r>
          </w:p>
        </w:tc>
      </w:tr>
      <w:tr>
        <w:tc>
          <w:tcPr>
            <w:tcW w:type="dxa" w:w="2160"/>
          </w:tcPr>
          <w:p>
            <w:r/>
            <w:r>
              <w:rPr>
                <w:b/>
                <w:sz w:val="20"/>
              </w:rPr>
              <w:t>成长性</w:t>
            </w:r>
          </w:p>
        </w:tc>
        <w:tc>
          <w:tcPr>
            <w:tcW w:type="dxa" w:w="2160"/>
          </w:tcPr>
          <w:p>
            <w:r/>
            <w:r>
              <w:rPr>
                <w:sz w:val="20"/>
              </w:rPr>
              <w:t>20%</w:t>
            </w:r>
          </w:p>
        </w:tc>
        <w:tc>
          <w:tcPr>
            <w:tcW w:type="dxa" w:w="2160"/>
          </w:tcPr>
          <w:p>
            <w:r/>
            <w:r>
              <w:rPr>
                <w:sz w:val="20"/>
              </w:rPr>
              <w:t>2</w:t>
            </w:r>
          </w:p>
        </w:tc>
        <w:tc>
          <w:tcPr>
            <w:tcW w:type="dxa" w:w="2160"/>
          </w:tcPr>
          <w:p>
            <w:r/>
            <w:r>
              <w:rPr>
                <w:sz w:val="20"/>
              </w:rPr>
              <w:t>营收同比 -35.1%、净利同比 -560.5%（最新报告期）→ 大幅下滑。</w:t>
            </w:r>
          </w:p>
        </w:tc>
      </w:tr>
      <w:tr>
        <w:tc>
          <w:tcPr>
            <w:tcW w:type="dxa" w:w="2160"/>
          </w:tcPr>
          <w:p>
            <w:r/>
            <w:r>
              <w:rPr>
                <w:b/>
                <w:sz w:val="20"/>
              </w:rPr>
              <w:t>估值</w:t>
            </w:r>
          </w:p>
        </w:tc>
        <w:tc>
          <w:tcPr>
            <w:tcW w:type="dxa" w:w="2160"/>
          </w:tcPr>
          <w:p>
            <w:r/>
            <w:r>
              <w:rPr>
                <w:sz w:val="20"/>
              </w:rPr>
              <w:t>20%</w:t>
            </w:r>
          </w:p>
        </w:tc>
        <w:tc>
          <w:tcPr>
            <w:tcW w:type="dxa" w:w="2160"/>
          </w:tcPr>
          <w:p>
            <w:r/>
            <w:r>
              <w:rPr>
                <w:sz w:val="20"/>
              </w:rPr>
              <w:t>2</w:t>
            </w:r>
          </w:p>
        </w:tc>
        <w:tc>
          <w:tcPr>
            <w:tcW w:type="dxa" w:w="2160"/>
          </w:tcPr>
          <w:p>
            <w:r/>
            <w:r>
              <w:rPr>
                <w:sz w:val="20"/>
              </w:rPr>
              <w:t>亏损/PE 无意义；PB 5年分位 91%，估值维度偏保守。</w:t>
            </w:r>
          </w:p>
        </w:tc>
      </w:tr>
      <w:tr>
        <w:tc>
          <w:tcPr>
            <w:tcW w:type="dxa" w:w="2160"/>
          </w:tcPr>
          <w:p>
            <w:r/>
            <w:r>
              <w:rPr>
                <w:b/>
                <w:sz w:val="20"/>
              </w:rPr>
              <w:t>动量与情绪</w:t>
            </w:r>
          </w:p>
        </w:tc>
        <w:tc>
          <w:tcPr>
            <w:tcW w:type="dxa" w:w="2160"/>
          </w:tcPr>
          <w:p>
            <w:r/>
            <w:r>
              <w:rPr>
                <w:sz w:val="20"/>
              </w:rPr>
              <w:t>15%</w:t>
            </w:r>
          </w:p>
        </w:tc>
        <w:tc>
          <w:tcPr>
            <w:tcW w:type="dxa" w:w="2160"/>
          </w:tcPr>
          <w:p>
            <w:r/>
            <w:r>
              <w:rPr>
                <w:sz w:val="20"/>
              </w:rPr>
              <w:t>4</w:t>
            </w:r>
          </w:p>
        </w:tc>
        <w:tc>
          <w:tcPr>
            <w:tcW w:type="dxa" w:w="2160"/>
          </w:tcPr>
          <w:p>
            <w:r/>
            <w:r>
              <w:rPr>
                <w:sz w:val="20"/>
              </w:rPr>
              <w:t>12月涨幅 145% 过热。</w:t>
            </w:r>
          </w:p>
        </w:tc>
      </w:tr>
      <w:tr>
        <w:tc>
          <w:tcPr>
            <w:tcW w:type="dxa" w:w="2160"/>
          </w:tcPr>
          <w:p>
            <w:r/>
            <w:r>
              <w:rPr>
                <w:b/>
                <w:sz w:val="20"/>
              </w:rPr>
              <w:t>行业地位</w:t>
            </w:r>
          </w:p>
        </w:tc>
        <w:tc>
          <w:tcPr>
            <w:tcW w:type="dxa" w:w="2160"/>
          </w:tcPr>
          <w:p>
            <w:r/>
            <w:r>
              <w:rPr>
                <w:sz w:val="20"/>
              </w:rPr>
              <w:t>10%</w:t>
            </w:r>
          </w:p>
        </w:tc>
        <w:tc>
          <w:tcPr>
            <w:tcW w:type="dxa" w:w="2160"/>
          </w:tcPr>
          <w:p>
            <w:r/>
            <w:r>
              <w:rPr>
                <w:sz w:val="20"/>
              </w:rPr>
              <w:t>7</w:t>
            </w:r>
          </w:p>
        </w:tc>
        <w:tc>
          <w:tcPr>
            <w:tcW w:type="dxa" w:w="2160"/>
          </w:tcPr>
          <w:p>
            <w:r/>
            <w:r>
              <w:rPr>
                <w:sz w:val="20"/>
              </w:rPr>
              <w:t>总市值 145 亿（百亿以上）。</w:t>
            </w:r>
          </w:p>
        </w:tc>
      </w:tr>
      <w:tr>
        <w:tc>
          <w:tcPr>
            <w:tcW w:type="dxa" w:w="2160"/>
          </w:tcPr>
          <w:p>
            <w:r/>
            <w:r>
              <w:rPr>
                <w:b/>
                <w:sz w:val="20"/>
              </w:rPr>
              <w:t>风险状况</w:t>
            </w:r>
          </w:p>
        </w:tc>
        <w:tc>
          <w:tcPr>
            <w:tcW w:type="dxa" w:w="2160"/>
          </w:tcPr>
          <w:p>
            <w:r/>
            <w:r>
              <w:rPr>
                <w:sz w:val="20"/>
              </w:rPr>
              <w:t>15%</w:t>
            </w:r>
          </w:p>
        </w:tc>
        <w:tc>
          <w:tcPr>
            <w:tcW w:type="dxa" w:w="2160"/>
          </w:tcPr>
          <w:p>
            <w:r/>
            <w:r>
              <w:rPr>
                <w:sz w:val="20"/>
              </w:rPr>
              <w:t>3</w:t>
            </w:r>
          </w:p>
        </w:tc>
        <w:tc>
          <w:tcPr>
            <w:tcW w:type="dxa" w:w="2160"/>
          </w:tcPr>
          <w:p>
            <w:r/>
            <w:r>
              <w:rPr>
                <w:sz w:val="20"/>
              </w:rPr>
              <w:t>4 项风险（High×3/Medium×0/Low×1），扣减 3.2。</w:t>
            </w:r>
          </w:p>
        </w:tc>
      </w:tr>
      <w:tr>
        <w:tc>
          <w:tcPr>
            <w:tcW w:type="dxa" w:w="2160"/>
          </w:tcPr>
          <w:p>
            <w:r/>
            <w:r>
              <w:rPr>
                <w:b/>
                <w:sz w:val="20"/>
              </w:rPr>
              <w:t>总计</w:t>
            </w:r>
          </w:p>
        </w:tc>
        <w:tc>
          <w:tcPr>
            <w:tcW w:type="dxa" w:w="2160"/>
          </w:tcPr>
          <w:p>
            <w:r/>
            <w:r>
              <w:rPr>
                <w:b/>
                <w:sz w:val="20"/>
              </w:rPr>
              <w:t>100%</w:t>
            </w:r>
          </w:p>
        </w:tc>
        <w:tc>
          <w:tcPr>
            <w:tcW w:type="dxa" w:w="2160"/>
          </w:tcPr>
          <w:p>
            <w:r/>
            <w:r>
              <w:rPr>
                <w:b/>
                <w:sz w:val="20"/>
              </w:rPr>
              <w:t>3.25</w:t>
            </w:r>
          </w:p>
        </w:tc>
        <w:tc>
          <w:tcPr>
            <w:tcW w:type="dxa" w:w="2160"/>
          </w:tcPr>
          <w:p>
            <w:r/>
            <w:r>
              <w:rPr>
                <w:b/>
                <w:sz w:val="20"/>
              </w:rPr>
              <w:t>→ SELL</w:t>
            </w:r>
          </w:p>
        </w:tc>
      </w:tr>
    </w:tbl>
    <w:p/>
    <w:p/>
    <w:p>
      <w:pPr>
        <w:jc w:val="center"/>
      </w:pPr>
      <w:r>
        <w:rPr>
          <w:b/>
          <w:color w:val="CC0000"/>
          <w:sz w:val="56"/>
        </w:rPr>
        <w:t xml:space="preserve">  SELL  </w:t>
      </w:r>
    </w:p>
    <w:p>
      <w:pPr>
        <w:jc w:val="center"/>
      </w:pPr>
      <w:r>
        <w:rPr>
          <w:b/>
          <w:color w:val="333333"/>
          <w:sz w:val="28"/>
        </w:rPr>
        <w:t>长期投资决策（6–18个月）</w:t>
      </w:r>
    </w:p>
    <w:p>
      <w:pPr>
        <w:jc w:val="center"/>
      </w:pPr>
      <w:r>
        <w:rPr>
          <w:color w:val="333333"/>
          <w:sz w:val="24"/>
        </w:rPr>
        <w:t>置信度: 68%</w:t>
      </w:r>
    </w:p>
    <w:p/>
    <w:p>
      <w:pPr/>
      <w:r>
        <w:rPr>
          <w:color w:val="333333"/>
          <w:sz w:val="22"/>
        </w:rPr>
        <w:t>长期（6–18个月）视角：平潭发展（000592.SZ）综合加权得分 3.25/10 → SELL。财务：财务指标中性。 成长：营收同比 -35.1%、净利同比 -560.5%（最新报告期）→ 大幅下滑。 估值：亏损/PE 无意义；PB 5年分位 91%，估值维度偏保守。 动量：12月涨幅 145% 过热。 行业地位：总市值 145 亿（百亿以上）。 风险：4 项风险（High×3/Medium×0/Low×1），扣减 3.2。置信度 68%。首板涨停属短线事件，本报告仅给出长期视角参考，不构成短线交易信号。</w:t>
      </w:r>
    </w:p>
    <w:p>
      <w:r>
        <w:br w:type="page"/>
      </w:r>
    </w:p>
    <w:p>
      <w:pPr/>
      <w:r>
        <w:rPr>
          <w:b/>
          <w:color w:val="1A3C6E"/>
          <w:sz w:val="32"/>
        </w:rPr>
        <w:t>8. 数据来源与参考文献</w:t>
      </w:r>
    </w:p>
    <w:p/>
    <w:p>
      <w:pPr/>
      <w:r>
        <w:rPr>
          <w:color w:val="333333"/>
          <w:sz w:val="18"/>
        </w:rPr>
        <w:t>1. Financial data: 东财 datacenter RPT_F10_FINANCE_MAINFINADATA（季度累计，北交所覆盖）</w:t>
      </w:r>
    </w:p>
    <w:p>
      <w:pPr/>
      <w:r>
        <w:rPr>
          <w:color w:val="333333"/>
          <w:sz w:val="18"/>
        </w:rPr>
        <w:t>2. Price data: 新浪财经日K线 CN_MarketDataService.getKLineData（symbol=sz000592，1600日）</w:t>
      </w:r>
    </w:p>
    <w:p>
      <w:pPr/>
      <w:r>
        <w:rPr>
          <w:color w:val="333333"/>
          <w:sz w:val="18"/>
        </w:rPr>
        <w:t>3. News &amp; sentiment: 东财涨停池（push2ex，2026-09-04）——事实性事件描述，非新闻聚合</w:t>
      </w:r>
    </w:p>
    <w:p>
      <w:pPr/>
      <w:r>
        <w:rPr>
          <w:color w:val="333333"/>
          <w:sz w:val="18"/>
        </w:rPr>
        <w:t>4. Analyst ratings: 无免费源（未披露，未纳入评分）</w:t>
      </w:r>
    </w:p>
    <w:p>
      <w:pPr/>
      <w:r>
        <w:rPr>
          <w:color w:val="333333"/>
          <w:sz w:val="18"/>
        </w:rPr>
        <w:t>5. Industry research: 申万一级行业中位PE（抽样≤30，腾讯批量PE）</w:t>
      </w:r>
    </w:p>
    <w:p>
      <w:pPr/>
      <w:r>
        <w:rPr>
          <w:color w:val="333333"/>
          <w:sz w:val="18"/>
        </w:rPr>
        <w:t>6. Risk factors: CSDC 质押数据（shim get_stock_pledge）+ 东财涨停池 push2ex getTopicZTPool（2026-09-04）</w:t>
      </w:r>
    </w:p>
    <w:p>
      <w:pPr/>
      <w:r>
        <w:rPr>
          <w:color w:val="333333"/>
          <w:sz w:val="18"/>
        </w:rPr>
        <w:t>7. Company info: 东财 F10 CompanySurvey PageAjax（ORG_PROFILE/ADDRESS）</w:t>
      </w:r>
    </w:p>
    <w:p/>
    <w:p>
      <w:pPr/>
      <w:r>
        <w:rPr>
          <w:color w:val="999999"/>
          <w:sz w:val="16"/>
        </w:rPr>
        <w:t>Report generated: 2026-09-04</w:t>
      </w:r>
    </w:p>
    <w:p>
      <w:pPr/>
      <w:r>
        <w:rPr>
          <w:color w:val="999999"/>
          <w:sz w:val="16"/>
        </w:rPr>
        <w:t>本报告由AI生成，仅供研究参考，不构成投资建议。</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