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罗 牛 山</w:t>
      </w:r>
    </w:p>
    <w:p>
      <w:pPr>
        <w:jc w:val="center"/>
      </w:pPr>
      <w:r>
        <w:rPr>
          <w:color w:val="333333"/>
          <w:sz w:val="28"/>
        </w:rPr>
        <w:t>000735.SZ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罗牛山股份有限公司(000735.SZ,简称“罗牛山”)创立于1987年,前身是海口市罗牛山农工商联合企业总公司,1993进行股份制改造,成立海口农工贸(罗牛山)股份有限公司,1997年在深交所上市,是我国“菜篮子”股份制上市公司,农业产业化国家重点龙头企业。2013年更名为罗牛山股份有限公司。公司耕耘海南30余载,矢志不移坚守农业,发扬“艰苦奋斗、坚韧不拔”的拓荒牛精神,主动担当,积极作为,兴民生业,做放心事,为海南热带现代农业发展立下了汗马功劳,为改变海南畜禽产品依赖岛外供应的历史和保障海口地区“菜篮子”供应作出了突出贡献。目前,公司已经发展成为以畜牧养殖、食品加工、冷链仓储与物流为主,集房地产、教育、金融投资等多元产业并举的大型集团公司,生产基地遍布海南岛、产业辐射全国。</w:t>
        <w:br/>
        <w:t xml:space="preserve">    30年来,公司充分利用海南得天独厚的自然条件和区位优势,大力发展畜牧产业,拥有完善的良种繁育、畜禽商品生产、饲料供应、畜禽防疫、屠宰加工、环保利用、科研推广、营销物流、工程建设、教育培训等十大配套体系,是海南省具有规模且配套体系完备的畜牧业龙头企业,海南省种猪繁育基地(国内“丹系种猪”繁育基地),海南省商品猪生产基地。2016年,新建的具有国际先进水平的海口新昌10万头生态养猪场正式投产,这是一家全封闭、集约化、自动化、信息化生态环保型养猪场,打造了海南省畜牧养殖业的新标杆;2020年,罗牛山儋州20万头生态养殖基地正式投产,高层楼房养殖新模式正式进驻海南,为海南生猪产业转型升级、海南高效农业发展添上了浓墨重彩的一笔。目前,公司拥有年出栏十万头以上猪场10个,规模化、花园式高层楼房养殖基地遍布海南、贵州。</w:t>
        <w:br/>
        <w:t xml:space="preserve">    为引领海南热带农业和农产品加工业的转型升级,2012年,公司投资兴建的“海口罗牛山农产品加工产业园”项目,是海南省“十二五”规划新型工业八大支柱产业重大项目及海口市“十二五”规划现代农产品加工重点项目。园区位于海口江东新区,规模60万平方米,总投资30亿元,坚持生态环保、低碳节能、科技智能、可持续发展理念,突出农产品科技研发与产业孵化,以产品质量、食品安全为核心,集农产品精深加工、多温层存储、物流配送、电子商务、检测检疫和综合服务配套功能于一体,建设有先进的节能环保模式、先进的生产工艺设备、先进的质量保障体系,是海南省全类食品供应保障基地,是推动全省农业供给侧结构改革,带领农民致富,保障市民菜蓝子,保障城市食品安全的重要支柱。园区罗牛山生猪屠宰加工厂,是海口具有A级资质的定点屠宰场,获评“全国屠宰标准化示范厂”;罗牛山冷链物流园,2020年被评为“中国冷链物流行业综合能力50强企业”。</w:t>
        <w:br/>
        <w:t xml:space="preserve">    在大力发展传统优势产业的同时,公司还积极投身房地产、教育、金融等行业,形成了一业为主,多业并举的相关多元化、集团化发展格局。</w:t>
        <w:br/>
        <w:t xml:space="preserve">    进入新的发展时期,公司将进一步加快产业升级步伐,以食品加工带动上下游产业,完善现代化生态化种养殖、农产品精深加工、冷链物流配送和电子商务交易等全产业链经营,形成可追朔体系,业务覆盖全岛、辐射全国并逐步开拓国际市场,实现从"菜篮子"细分产品供应商向一站式全类型食品供应商的转型,引领海南"菜篮子"迈向"从有到好"的新阶段。</w:t>
        <w:br/>
        <w:t xml:space="preserve">    展望未来,公司将继续把握海南自由贸易区(港)建设和国家实施“一带一路”发展战略带来的重大机遇,加快产业双转型,提升品牌竞争力。随着新三年战略规划的推进落实和罗牛山全类食品供应保障基地等重大项目的实施,公司未来将赢得更多的发展机遇,开辟更加广阔的发展前景。</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罗 牛 山</w:t>
            </w:r>
          </w:p>
        </w:tc>
      </w:tr>
      <w:tr>
        <w:tc>
          <w:tcPr>
            <w:tcW w:type="dxa" w:w="4320"/>
          </w:tcPr>
          <w:p>
            <w:r/>
            <w:r>
              <w:rPr>
                <w:b/>
                <w:sz w:val="20"/>
              </w:rPr>
              <w:t>股票代码</w:t>
            </w:r>
          </w:p>
        </w:tc>
        <w:tc>
          <w:tcPr>
            <w:tcW w:type="dxa" w:w="4320"/>
          </w:tcPr>
          <w:p>
            <w:r/>
            <w:r>
              <w:rPr>
                <w:sz w:val="20"/>
              </w:rPr>
              <w:t>000735.SZ</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养殖业</w:t>
            </w:r>
          </w:p>
        </w:tc>
      </w:tr>
      <w:tr>
        <w:tc>
          <w:tcPr>
            <w:tcW w:type="dxa" w:w="4320"/>
          </w:tcPr>
          <w:p>
            <w:r/>
            <w:r>
              <w:rPr>
                <w:b/>
                <w:sz w:val="20"/>
              </w:rPr>
              <w:t>上市日期</w:t>
            </w:r>
          </w:p>
        </w:tc>
        <w:tc>
          <w:tcPr>
            <w:tcW w:type="dxa" w:w="4320"/>
          </w:tcPr>
          <w:p>
            <w:r/>
            <w:r>
              <w:rPr>
                <w:sz w:val="20"/>
              </w:rPr>
              <w:t>≈1994（最早报告期 1994-12-31 推断，无免费直接源）</w:t>
            </w:r>
          </w:p>
        </w:tc>
      </w:tr>
      <w:tr>
        <w:tc>
          <w:tcPr>
            <w:tcW w:type="dxa" w:w="4320"/>
          </w:tcPr>
          <w:p>
            <w:r/>
            <w:r>
              <w:rPr>
                <w:b/>
                <w:sz w:val="20"/>
              </w:rPr>
              <w:t>总部所在地</w:t>
            </w:r>
          </w:p>
        </w:tc>
        <w:tc>
          <w:tcPr>
            <w:tcW w:type="dxa" w:w="4320"/>
          </w:tcPr>
          <w:p>
            <w:r/>
            <w:r>
              <w:rPr>
                <w:sz w:val="20"/>
              </w:rPr>
              <w:t>海南 海南省海口市美兰区国兴大道5号海南大厦农信楼12楼</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+14.5%（报告期 2026-06-30）</w:t>
            </w:r>
          </w:p>
        </w:tc>
      </w:tr>
      <w:tr>
        <w:tc>
          <w:tcPr>
            <w:tcW w:type="dxa" w:w="4320"/>
          </w:tcPr>
          <w:p>
            <w:r/>
            <w:r>
              <w:rPr>
                <w:b/>
                <w:sz w:val="20"/>
              </w:rPr>
              <w:t>净利润趋势（同比）</w:t>
            </w:r>
          </w:p>
        </w:tc>
        <w:tc>
          <w:tcPr>
            <w:tcW w:type="dxa" w:w="4320"/>
          </w:tcPr>
          <w:p>
            <w:r/>
            <w:r>
              <w:rPr>
                <w:sz w:val="20"/>
              </w:rPr>
              <w:t>同比 -4508.0%（报告期 2026-06-30）</w:t>
            </w:r>
          </w:p>
        </w:tc>
      </w:tr>
      <w:tr>
        <w:tc>
          <w:tcPr>
            <w:tcW w:type="dxa" w:w="4320"/>
          </w:tcPr>
          <w:p>
            <w:r/>
            <w:r>
              <w:rPr>
                <w:b/>
                <w:sz w:val="20"/>
              </w:rPr>
              <w:t>ROE (TTM)</w:t>
            </w:r>
          </w:p>
        </w:tc>
        <w:tc>
          <w:tcPr>
            <w:tcW w:type="dxa" w:w="4320"/>
          </w:tcPr>
          <w:p>
            <w:r/>
            <w:r>
              <w:rPr>
                <w:sz w:val="20"/>
              </w:rPr>
              <w:t>-7.44%</w:t>
            </w:r>
          </w:p>
        </w:tc>
      </w:tr>
      <w:tr>
        <w:tc>
          <w:tcPr>
            <w:tcW w:type="dxa" w:w="4320"/>
          </w:tcPr>
          <w:p>
            <w:r/>
            <w:r>
              <w:rPr>
                <w:b/>
                <w:sz w:val="20"/>
              </w:rPr>
              <w:t>ROA (TTM)</w:t>
            </w:r>
          </w:p>
        </w:tc>
        <w:tc>
          <w:tcPr>
            <w:tcW w:type="dxa" w:w="4320"/>
          </w:tcPr>
          <w:p>
            <w:r/>
            <w:r>
              <w:rPr>
                <w:sz w:val="20"/>
              </w:rPr>
              <w:t>-3.45%</w:t>
            </w:r>
          </w:p>
        </w:tc>
      </w:tr>
      <w:tr>
        <w:tc>
          <w:tcPr>
            <w:tcW w:type="dxa" w:w="4320"/>
          </w:tcPr>
          <w:p>
            <w:r/>
            <w:r>
              <w:rPr>
                <w:b/>
                <w:sz w:val="20"/>
              </w:rPr>
              <w:t>毛利率 (TTM)</w:t>
            </w:r>
          </w:p>
        </w:tc>
        <w:tc>
          <w:tcPr>
            <w:tcW w:type="dxa" w:w="4320"/>
          </w:tcPr>
          <w:p>
            <w:r/>
            <w:r>
              <w:rPr>
                <w:sz w:val="20"/>
              </w:rPr>
              <w:t>0.66%</w:t>
            </w:r>
          </w:p>
        </w:tc>
      </w:tr>
      <w:tr>
        <w:tc>
          <w:tcPr>
            <w:tcW w:type="dxa" w:w="4320"/>
          </w:tcPr>
          <w:p>
            <w:r/>
            <w:r>
              <w:rPr>
                <w:b/>
                <w:sz w:val="20"/>
              </w:rPr>
              <w:t>净利率 (TTM)</w:t>
            </w:r>
          </w:p>
        </w:tc>
        <w:tc>
          <w:tcPr>
            <w:tcW w:type="dxa" w:w="4320"/>
          </w:tcPr>
          <w:p>
            <w:r/>
            <w:r>
              <w:rPr>
                <w:sz w:val="20"/>
              </w:rPr>
              <w:t>-26.20%</w:t>
            </w:r>
          </w:p>
        </w:tc>
      </w:tr>
      <w:tr>
        <w:tc>
          <w:tcPr>
            <w:tcW w:type="dxa" w:w="4320"/>
          </w:tcPr>
          <w:p>
            <w:r/>
            <w:r>
              <w:rPr>
                <w:b/>
                <w:sz w:val="20"/>
              </w:rPr>
              <w:t>负债权益比 (MRQ)</w:t>
            </w:r>
          </w:p>
        </w:tc>
        <w:tc>
          <w:tcPr>
            <w:tcW w:type="dxa" w:w="4320"/>
          </w:tcPr>
          <w:p>
            <w:r/>
            <w:r>
              <w:rPr>
                <w:sz w:val="20"/>
              </w:rPr>
              <w:t>1.0980</w:t>
            </w:r>
          </w:p>
        </w:tc>
      </w:tr>
      <w:tr>
        <w:tc>
          <w:tcPr>
            <w:tcW w:type="dxa" w:w="4320"/>
          </w:tcPr>
          <w:p>
            <w:r/>
            <w:r>
              <w:rPr>
                <w:b/>
                <w:sz w:val="20"/>
              </w:rPr>
              <w:t>经营现金流质量 (TTM)</w:t>
            </w:r>
          </w:p>
        </w:tc>
        <w:tc>
          <w:tcPr>
            <w:tcW w:type="dxa" w:w="4320"/>
          </w:tcPr>
          <w:p>
            <w:r/>
            <w:r>
              <w:rPr>
                <w:sz w:val="20"/>
              </w:rPr>
              <w:t>无数据</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-11.40</w:t>
            </w:r>
          </w:p>
        </w:tc>
      </w:tr>
      <w:tr>
        <w:tc>
          <w:tcPr>
            <w:tcW w:type="dxa" w:w="4320"/>
          </w:tcPr>
          <w:p>
            <w:r/>
            <w:r>
              <w:rPr>
                <w:b/>
                <w:sz w:val="20"/>
              </w:rPr>
              <w:t>市净率 (MRQ)</w:t>
            </w:r>
          </w:p>
        </w:tc>
        <w:tc>
          <w:tcPr>
            <w:tcW w:type="dxa" w:w="4320"/>
          </w:tcPr>
          <w:p>
            <w:r/>
            <w:r>
              <w:rPr>
                <w:sz w:val="20"/>
              </w:rPr>
              <w:t>1.77</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0%</w:t>
            </w:r>
          </w:p>
        </w:tc>
      </w:tr>
      <w:tr>
        <w:tc>
          <w:tcPr>
            <w:tcW w:type="dxa" w:w="4320"/>
          </w:tcPr>
          <w:p>
            <w:r/>
            <w:r>
              <w:rPr>
                <w:b/>
                <w:sz w:val="20"/>
              </w:rPr>
              <w:t>PE 3年分位</w:t>
            </w:r>
          </w:p>
        </w:tc>
        <w:tc>
          <w:tcPr>
            <w:tcW w:type="dxa" w:w="4320"/>
          </w:tcPr>
          <w:p>
            <w:r/>
            <w:r>
              <w:rPr>
                <w:sz w:val="20"/>
              </w:rPr>
              <w:t>0%</w:t>
            </w:r>
          </w:p>
        </w:tc>
      </w:tr>
      <w:tr>
        <w:tc>
          <w:tcPr>
            <w:tcW w:type="dxa" w:w="4320"/>
          </w:tcPr>
          <w:p>
            <w:r/>
            <w:r>
              <w:rPr>
                <w:b/>
                <w:sz w:val="20"/>
              </w:rPr>
              <w:t>PE 5年分位</w:t>
            </w:r>
          </w:p>
        </w:tc>
        <w:tc>
          <w:tcPr>
            <w:tcW w:type="dxa" w:w="4320"/>
          </w:tcPr>
          <w:p>
            <w:r/>
            <w:r>
              <w:rPr>
                <w:sz w:val="20"/>
              </w:rPr>
              <w:t>0%</w:t>
            </w:r>
          </w:p>
        </w:tc>
      </w:tr>
    </w:tbl>
    <w:p/>
    <w:p/>
    <w:p>
      <w:pPr>
        <w:jc w:val="center"/>
      </w:pPr>
      <w:r>
        <w:drawing>
          <wp:inline xmlns:a="http://schemas.openxmlformats.org/drawingml/2006/main" xmlns:pic="http://schemas.openxmlformats.org/drawingml/2006/picture">
            <wp:extent cx="5029200" cy="2122764"/>
            <wp:docPr id="1" name="Picture 1"/>
            <wp:cNvGraphicFramePr>
              <a:graphicFrameLocks noChangeAspect="1"/>
            </wp:cNvGraphicFramePr>
            <a:graphic>
              <a:graphicData uri="http://schemas.openxmlformats.org/drawingml/2006/picture">
                <pic:pic>
                  <pic:nvPicPr>
                    <pic:cNvPr id="0" name="000735.SZ_price.png"/>
                    <pic:cNvPicPr/>
                  </pic:nvPicPr>
                  <pic:blipFill>
                    <a:blip r:embed="rId9"/>
                    <a:stretch>
                      <a:fillRect/>
                    </a:stretch>
                  </pic:blipFill>
                  <pic:spPr>
                    <a:xfrm>
                      <a:off x="0" y="0"/>
                      <a:ext cx="5029200" cy="2122764"/>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18.80%</w:t>
            </w:r>
          </w:p>
        </w:tc>
      </w:tr>
      <w:tr>
        <w:tc>
          <w:tcPr>
            <w:tcW w:type="dxa" w:w="4320"/>
          </w:tcPr>
          <w:p>
            <w:r/>
            <w:r>
              <w:rPr>
                <w:b/>
                <w:sz w:val="20"/>
              </w:rPr>
              <w:t>3月回报</w:t>
            </w:r>
          </w:p>
        </w:tc>
        <w:tc>
          <w:tcPr>
            <w:tcW w:type="dxa" w:w="4320"/>
          </w:tcPr>
          <w:p>
            <w:r/>
            <w:r>
              <w:rPr>
                <w:sz w:val="20"/>
              </w:rPr>
              <w:t>21.15%</w:t>
            </w:r>
          </w:p>
        </w:tc>
      </w:tr>
      <w:tr>
        <w:tc>
          <w:tcPr>
            <w:tcW w:type="dxa" w:w="4320"/>
          </w:tcPr>
          <w:p>
            <w:r/>
            <w:r>
              <w:rPr>
                <w:b/>
                <w:sz w:val="20"/>
              </w:rPr>
              <w:t>6月回报</w:t>
            </w:r>
          </w:p>
        </w:tc>
        <w:tc>
          <w:tcPr>
            <w:tcW w:type="dxa" w:w="4320"/>
          </w:tcPr>
          <w:p>
            <w:r/>
            <w:r>
              <w:rPr>
                <w:sz w:val="20"/>
              </w:rPr>
              <w:t>-18.27%</w:t>
            </w:r>
          </w:p>
        </w:tc>
      </w:tr>
      <w:tr>
        <w:tc>
          <w:tcPr>
            <w:tcW w:type="dxa" w:w="4320"/>
          </w:tcPr>
          <w:p>
            <w:r/>
            <w:r>
              <w:rPr>
                <w:b/>
                <w:sz w:val="20"/>
              </w:rPr>
              <w:t>12月回报</w:t>
            </w:r>
          </w:p>
        </w:tc>
        <w:tc>
          <w:tcPr>
            <w:tcW w:type="dxa" w:w="4320"/>
          </w:tcPr>
          <w:p>
            <w:r/>
            <w:r>
              <w:rPr>
                <w:sz w:val="20"/>
              </w:rPr>
              <w:t>-4.81%</w:t>
            </w:r>
          </w:p>
        </w:tc>
      </w:tr>
      <w:tr>
        <w:tc>
          <w:tcPr>
            <w:tcW w:type="dxa" w:w="4320"/>
          </w:tcPr>
          <w:p>
            <w:r/>
            <w:r>
              <w:rPr>
                <w:b/>
                <w:sz w:val="20"/>
              </w:rPr>
              <w:t>成交量趋势（1年对比）</w:t>
            </w:r>
          </w:p>
        </w:tc>
        <w:tc>
          <w:tcPr>
            <w:tcW w:type="dxa" w:w="4320"/>
          </w:tcPr>
          <w:p>
            <w:r/>
            <w:r>
              <w:rPr>
                <w:sz w:val="20"/>
              </w:rPr>
              <w:t>放量 208.2%（近21日均量 vs 前21日）</w:t>
            </w:r>
          </w:p>
        </w:tc>
      </w:tr>
      <w:tr>
        <w:tc>
          <w:tcPr>
            <w:tcW w:type="dxa" w:w="4320"/>
          </w:tcPr>
          <w:p>
            <w:r/>
            <w:r>
              <w:rPr>
                <w:b/>
                <w:sz w:val="20"/>
              </w:rPr>
              <w:t>新闻舆情（30日）</w:t>
            </w:r>
          </w:p>
        </w:tc>
        <w:tc>
          <w:tcPr>
            <w:tcW w:type="dxa" w:w="4320"/>
          </w:tcPr>
          <w:p>
            <w:r/>
            <w:r>
              <w:rPr>
                <w:sz w:val="20"/>
              </w:rPr>
              <w:t>2026-09-04 首板涨停（11:10:36封板，封单资金 0.57 亿），短线关注度上升；行业（养殖业）板块联动。基于东财涨停池数据，非新闻聚合。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000735.SZ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000735.SZ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首板涨停（11:10:36封板），情绪驱动成分高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股权质押风险：质押占流通盘 13.6%（CSDC）</w:t>
            </w:r>
          </w:p>
        </w:tc>
        <w:tc>
          <w:tcPr>
            <w:tcW w:type="dxa" w:w="2880"/>
            <w:shd w:fill="FFF3CD" w:val="clear"/>
          </w:tcPr>
          <w:p>
            <w:r>
              <w:t>Medium</w:t>
            </w:r>
          </w:p>
        </w:tc>
        <w:tc>
          <w:tcPr>
            <w:tcW w:type="dxa" w:w="2880"/>
          </w:tcPr>
          <w:p>
            <w:r>
              <w:t>质押比例中等，跟踪控股股东质押动态</w:t>
            </w:r>
          </w:p>
        </w:tc>
      </w:tr>
      <w:tr>
        <w:tc>
          <w:tcPr>
            <w:tcW w:type="dxa" w:w="2880"/>
          </w:tcPr>
          <w:p>
            <w:r>
              <w:t>业绩下滑风险：最新报告期归母净利同比 -4508.0%</w:t>
            </w:r>
          </w:p>
        </w:tc>
        <w:tc>
          <w:tcPr>
            <w:tcW w:type="dxa" w:w="2880"/>
            <w:shd w:fill="FFCCCC" w:val="clear"/>
          </w:tcPr>
          <w:p>
            <w:r>
              <w:t>High</w:t>
            </w:r>
          </w:p>
        </w:tc>
        <w:tc>
          <w:tcPr>
            <w:tcW w:type="dxa" w:w="2880"/>
          </w:tcPr>
          <w:p>
            <w:r>
              <w:t>以季报验证拐点；若连续两期下滑应下修评级</w:t>
            </w:r>
          </w:p>
        </w:tc>
      </w:tr>
      <w:tr>
        <w:tc>
          <w:tcPr>
            <w:tcW w:type="dxa" w:w="2880"/>
          </w:tcPr>
          <w:p>
            <w:r>
              <w:t>最新报告期归母净利为负（亏损）</w:t>
            </w:r>
          </w:p>
        </w:tc>
        <w:tc>
          <w:tcPr>
            <w:tcW w:type="dxa" w:w="2880"/>
            <w:shd w:fill="FFCCCC" w:val="clear"/>
          </w:tcPr>
          <w:p>
            <w:r>
              <w:t>High</w:t>
            </w:r>
          </w:p>
        </w:tc>
        <w:tc>
          <w:tcPr>
            <w:tcW w:type="dxa" w:w="2880"/>
          </w:tcPr>
          <w:p>
            <w:r>
              <w:t>评估扭亏路径与现金流覆盖能力</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4</w:t>
            </w:r>
          </w:p>
        </w:tc>
        <w:tc>
          <w:tcPr>
            <w:tcW w:type="dxa" w:w="2160"/>
          </w:tcPr>
          <w:p>
            <w:r/>
            <w:r>
              <w:rPr>
                <w:sz w:val="20"/>
              </w:rPr>
              <w:t>财务指标中性。</w:t>
            </w:r>
          </w:p>
        </w:tc>
      </w:tr>
      <w:tr>
        <w:tc>
          <w:tcPr>
            <w:tcW w:type="dxa" w:w="2160"/>
          </w:tcPr>
          <w:p>
            <w:r/>
            <w:r>
              <w:rPr>
                <w:b/>
                <w:sz w:val="20"/>
              </w:rPr>
              <w:t>成长性</w:t>
            </w:r>
          </w:p>
        </w:tc>
        <w:tc>
          <w:tcPr>
            <w:tcW w:type="dxa" w:w="2160"/>
          </w:tcPr>
          <w:p>
            <w:r/>
            <w:r>
              <w:rPr>
                <w:sz w:val="20"/>
              </w:rPr>
              <w:t>20%</w:t>
            </w:r>
          </w:p>
        </w:tc>
        <w:tc>
          <w:tcPr>
            <w:tcW w:type="dxa" w:w="2160"/>
          </w:tcPr>
          <w:p>
            <w:r/>
            <w:r>
              <w:rPr>
                <w:sz w:val="20"/>
              </w:rPr>
              <w:t>6</w:t>
            </w:r>
          </w:p>
        </w:tc>
        <w:tc>
          <w:tcPr>
            <w:tcW w:type="dxa" w:w="2160"/>
          </w:tcPr>
          <w:p>
            <w:r/>
            <w:r>
              <w:rPr>
                <w:sz w:val="20"/>
              </w:rPr>
              <w:t>营收同比 +14.5%、净利同比 -4508.0%（最新报告期）→ 低增长。</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亏损/PE 无意义；PB 5年分位 40%，估值维度偏保守。</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-5%。</w:t>
            </w:r>
          </w:p>
        </w:tc>
      </w:tr>
      <w:tr>
        <w:tc>
          <w:tcPr>
            <w:tcW w:type="dxa" w:w="2160"/>
          </w:tcPr>
          <w:p>
            <w:r/>
            <w:r>
              <w:rPr>
                <w:b/>
                <w:sz w:val="20"/>
              </w:rPr>
              <w:t>行业地位</w:t>
            </w:r>
          </w:p>
        </w:tc>
        <w:tc>
          <w:tcPr>
            <w:tcW w:type="dxa" w:w="2160"/>
          </w:tcPr>
          <w:p>
            <w:r/>
            <w:r>
              <w:rPr>
                <w:sz w:val="20"/>
              </w:rPr>
              <w:t>10%</w:t>
            </w:r>
          </w:p>
        </w:tc>
        <w:tc>
          <w:tcPr>
            <w:tcW w:type="dxa" w:w="2160"/>
          </w:tcPr>
          <w:p>
            <w:r/>
            <w:r>
              <w:rPr>
                <w:sz w:val="20"/>
              </w:rPr>
              <w:t>6</w:t>
            </w:r>
          </w:p>
        </w:tc>
        <w:tc>
          <w:tcPr>
            <w:tcW w:type="dxa" w:w="2160"/>
          </w:tcPr>
          <w:p>
            <w:r/>
            <w:r>
              <w:rPr>
                <w:sz w:val="20"/>
              </w:rPr>
              <w:t>总市值 71 亿（中型）。</w:t>
            </w:r>
          </w:p>
        </w:tc>
      </w:tr>
      <w:tr>
        <w:tc>
          <w:tcPr>
            <w:tcW w:type="dxa" w:w="2160"/>
          </w:tcPr>
          <w:p>
            <w:r/>
            <w:r>
              <w:rPr>
                <w:b/>
                <w:sz w:val="20"/>
              </w:rPr>
              <w:t>风险状况</w:t>
            </w:r>
          </w:p>
        </w:tc>
        <w:tc>
          <w:tcPr>
            <w:tcW w:type="dxa" w:w="2160"/>
          </w:tcPr>
          <w:p>
            <w:r/>
            <w:r>
              <w:rPr>
                <w:sz w:val="20"/>
              </w:rPr>
              <w:t>15%</w:t>
            </w:r>
          </w:p>
        </w:tc>
        <w:tc>
          <w:tcPr>
            <w:tcW w:type="dxa" w:w="2160"/>
          </w:tcPr>
          <w:p>
            <w:r/>
            <w:r>
              <w:rPr>
                <w:sz w:val="20"/>
              </w:rPr>
              <w:t>2</w:t>
            </w:r>
          </w:p>
        </w:tc>
        <w:tc>
          <w:tcPr>
            <w:tcW w:type="dxa" w:w="2160"/>
          </w:tcPr>
          <w:p>
            <w:r/>
            <w:r>
              <w:rPr>
                <w:sz w:val="20"/>
              </w:rPr>
              <w:t>4 项风险（High×3/Medium×1/Low×0），扣减 3.5。</w:t>
            </w:r>
          </w:p>
        </w:tc>
      </w:tr>
      <w:tr>
        <w:tc>
          <w:tcPr>
            <w:tcW w:type="dxa" w:w="2160"/>
          </w:tcPr>
          <w:p>
            <w:r/>
            <w:r>
              <w:rPr>
                <w:b/>
                <w:sz w:val="20"/>
              </w:rPr>
              <w:t>总计</w:t>
            </w:r>
          </w:p>
        </w:tc>
        <w:tc>
          <w:tcPr>
            <w:tcW w:type="dxa" w:w="2160"/>
          </w:tcPr>
          <w:p>
            <w:r/>
            <w:r>
              <w:rPr>
                <w:b/>
                <w:sz w:val="20"/>
              </w:rPr>
              <w:t>100%</w:t>
            </w:r>
          </w:p>
        </w:tc>
        <w:tc>
          <w:tcPr>
            <w:tcW w:type="dxa" w:w="2160"/>
          </w:tcPr>
          <w:p>
            <w:r/>
            <w:r>
              <w:rPr>
                <w:b/>
                <w:sz w:val="20"/>
              </w:rPr>
              <w:t>4.05</w:t>
            </w:r>
          </w:p>
        </w:tc>
        <w:tc>
          <w:tcPr>
            <w:tcW w:type="dxa" w:w="2160"/>
          </w:tcPr>
          <w:p>
            <w:r/>
            <w:r>
              <w:rPr>
                <w:b/>
                <w:sz w:val="20"/>
              </w:rPr>
              <w:t>→ SELL</w:t>
            </w:r>
          </w:p>
        </w:tc>
      </w:tr>
    </w:tbl>
    <w:p/>
    <w:p/>
    <w:p>
      <w:pPr>
        <w:jc w:val="center"/>
      </w:pPr>
      <w:r>
        <w:rPr>
          <w:b/>
          <w:color w:val="CC0000"/>
          <w:sz w:val="56"/>
        </w:rPr>
        <w:t xml:space="preserve">  SELL  </w:t>
      </w:r>
    </w:p>
    <w:p>
      <w:pPr>
        <w:jc w:val="center"/>
      </w:pPr>
      <w:r>
        <w:rPr>
          <w:b/>
          <w:color w:val="333333"/>
          <w:sz w:val="28"/>
        </w:rPr>
        <w:t>长期投资决策（6–18个月）</w:t>
      </w:r>
    </w:p>
    <w:p>
      <w:pPr>
        <w:jc w:val="center"/>
      </w:pPr>
      <w:r>
        <w:rPr>
          <w:color w:val="333333"/>
          <w:sz w:val="24"/>
        </w:rPr>
        <w:t>置信度: 59%</w:t>
      </w:r>
    </w:p>
    <w:p/>
    <w:p>
      <w:pPr/>
      <w:r>
        <w:rPr>
          <w:color w:val="333333"/>
          <w:sz w:val="22"/>
        </w:rPr>
        <w:t>长期（6–18个月）视角：罗 牛 山（000735.SZ）综合加权得分 4.05/10 → SELL。财务：财务指标中性。 成长：营收同比 +14.5%、净利同比 -4508.0%（最新报告期）→ 低增长。 估值：亏损/PE 无意义；PB 5年分位 40%，估值维度偏保守。 动量：12月下跌 -5%。 行业地位：总市值 71 亿（中型）。 风险：4 项风险（High×3/Medium×1/Low×0），扣减 3.5。置信度 59%。首板涨停属短线事件，本报告仅给出长期视角参考，不构成短线交易信号。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CN_MarketDataService.getKLineData（symbol=sz000735，1600日）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