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
      <w:pPr>
        <w:jc w:val="center"/>
      </w:pPr>
      <w:r>
        <w:rPr>
          <w:b/>
          <w:color w:val="1A3C6E"/>
          <w:sz w:val="56"/>
        </w:rPr>
        <w:t>源飞宠物</w:t>
      </w:r>
    </w:p>
    <w:p>
      <w:pPr>
        <w:jc w:val="center"/>
      </w:pPr>
      <w:r>
        <w:rPr>
          <w:color w:val="333333"/>
          <w:sz w:val="28"/>
        </w:rPr>
        <w:t>001222.SZ  ·  CN</w:t>
      </w:r>
    </w:p>
    <w:p/>
    <w:p/>
    <w:p>
      <w:pPr>
        <w:jc w:val="center"/>
      </w:pPr>
      <w:r>
        <w:rPr>
          <w:color w:val="1A3C6E"/>
          <w:sz w:val="32"/>
        </w:rPr>
        <w:t>投资决策报告</w:t>
      </w:r>
    </w:p>
    <w:p/>
    <w:p>
      <w:pPr>
        <w:jc w:val="center"/>
      </w:pPr>
      <w:r>
        <w:rPr>
          <w:color w:val="333333"/>
          <w:sz w:val="24"/>
        </w:rPr>
        <w:t>报告日期: 2026-09-04</w:t>
      </w:r>
    </w:p>
    <w:p>
      <w:r>
        <w:br w:type="page"/>
      </w:r>
    </w:p>
    <w:p>
      <w:pPr/>
      <w:r>
        <w:rPr>
          <w:b/>
          <w:color w:val="1A3C6E"/>
          <w:sz w:val="32"/>
        </w:rPr>
        <w:t>1. 公司概览</w:t>
      </w:r>
    </w:p>
    <w:p/>
    <w:p>
      <w:pPr/>
      <w:r>
        <w:rPr>
          <w:color w:val="333333"/>
          <w:sz w:val="20"/>
        </w:rPr>
        <w:t>温州源飞宠物玩具制品股份有限公司成立于2004年,位于浙江省平阳县水头镇标准园区宠乐路1号,系浙江省进出口宠物食品用品行业协会会长单位、平阳县宠物食用品行业协会常务会长单位。公司是一家专业从事宠物用品和宠物零食研发、生产、销售的高新技术企业,主要产品包括宠物牵引用具、宠物玩具等宠物用品,宠物零食、宠物干粮、宠物湿粮等宠物食品。企业以稳定的产品质量和独特的创新优势赢得了较高的品牌声誉和市场地位,产品出口美国、英国、德国、日本、丹麦等40多个国家和地区。2022年8月18日,公司在深圳证券交易所正式挂牌上市(股票简称:源飞宠物,股票代码:001222)。目前,公司已通过了ISO22000食品安全管理认证、ISO9001质量认证、ISO14001环境认证、英国BRC零售认证、FSMA认证、美国FDA注册、BSCI审核、SCAN反恐,并通过美国WAL-MART、TARGET、DISNEY等验厂,是多家国际大型连锁商超在宠物食品用品专业领域的核心供应商。源飞愿和国内外优秀合作伙伴一起构建宠物产业完整价值链,践行宠物用品时尚、智能新主张,朝着“铸就源飞百年基业,成为世界知名企业”的宏大愿景激昂前行。公司高度重视对产品质量的把控。一方面,公司持续加强对供应链体系的管理,确保上游厂商及时、可靠的供应产品;另一方面,公司建立了专业的质量管理团队,对产品生产的各个流程进行严格管控,以满足公司客户对产品质量的严格要求。凭借良好的设计创新能力和可靠、优质的产品质量,公司积累了优质的客户资源。目前,公司与国际知名的专业宠物产品连锁店和大型连锁零售商有长期、稳定且连续的合作,如美国宠物用品零售巨头Petco和PetSmart、欧洲知名的宠物用品连锁店PetsatHome以及国际大型连锁零售商Walmart、Target等,客户遍布宠物市场较为发达的美国、欧洲、日本等国家与地区。</w:t>
      </w:r>
    </w:p>
    <w:p/>
    <w:tbl>
      <w:tblPr>
        <w:tblStyle w:val="LightGrid-Accent1"/>
        <w:tblW w:type="auto" w:w="0"/>
        <w:jc w:val="center"/>
        <w:tblLook w:firstColumn="1" w:firstRow="1" w:lastColumn="0" w:lastRow="0" w:noHBand="0" w:noVBand="1" w:val="04A0"/>
      </w:tblPr>
      <w:tblGrid>
        <w:gridCol w:w="4320"/>
        <w:gridCol w:w="4320"/>
      </w:tblGrid>
      <w:tr>
        <w:tc>
          <w:tcPr>
            <w:tcW w:type="dxa" w:w="4320"/>
          </w:tcPr>
          <w:p>
            <w:r/>
            <w:r>
              <w:rPr>
                <w:b/>
                <w:sz w:val="20"/>
              </w:rPr>
              <w:t>公司名称</w:t>
            </w:r>
          </w:p>
        </w:tc>
        <w:tc>
          <w:tcPr>
            <w:tcW w:type="dxa" w:w="4320"/>
          </w:tcPr>
          <w:p>
            <w:r/>
            <w:r>
              <w:rPr>
                <w:sz w:val="20"/>
              </w:rPr>
              <w:t>源飞宠物</w:t>
            </w:r>
          </w:p>
        </w:tc>
      </w:tr>
      <w:tr>
        <w:tc>
          <w:tcPr>
            <w:tcW w:type="dxa" w:w="4320"/>
          </w:tcPr>
          <w:p>
            <w:r/>
            <w:r>
              <w:rPr>
                <w:b/>
                <w:sz w:val="20"/>
              </w:rPr>
              <w:t>股票代码</w:t>
            </w:r>
          </w:p>
        </w:tc>
        <w:tc>
          <w:tcPr>
            <w:tcW w:type="dxa" w:w="4320"/>
          </w:tcPr>
          <w:p>
            <w:r/>
            <w:r>
              <w:rPr>
                <w:sz w:val="20"/>
              </w:rPr>
              <w:t>001222.SZ</w:t>
            </w:r>
          </w:p>
        </w:tc>
      </w:tr>
      <w:tr>
        <w:tc>
          <w:tcPr>
            <w:tcW w:type="dxa" w:w="4320"/>
          </w:tcPr>
          <w:p>
            <w:r/>
            <w:r>
              <w:rPr>
                <w:b/>
                <w:sz w:val="20"/>
              </w:rPr>
              <w:t>市场</w:t>
            </w:r>
          </w:p>
        </w:tc>
        <w:tc>
          <w:tcPr>
            <w:tcW w:type="dxa" w:w="4320"/>
          </w:tcPr>
          <w:p>
            <w:r/>
            <w:r>
              <w:rPr>
                <w:sz w:val="20"/>
              </w:rPr>
              <w:t>cn</w:t>
            </w:r>
          </w:p>
        </w:tc>
      </w:tr>
      <w:tr>
        <w:tc>
          <w:tcPr>
            <w:tcW w:type="dxa" w:w="4320"/>
          </w:tcPr>
          <w:p>
            <w:r/>
            <w:r>
              <w:rPr>
                <w:b/>
                <w:sz w:val="20"/>
              </w:rPr>
              <w:t>行业</w:t>
            </w:r>
          </w:p>
        </w:tc>
        <w:tc>
          <w:tcPr>
            <w:tcW w:type="dxa" w:w="4320"/>
          </w:tcPr>
          <w:p>
            <w:r/>
            <w:r>
              <w:rPr>
                <w:sz w:val="20"/>
              </w:rPr>
              <w:t>文娱用品</w:t>
            </w:r>
          </w:p>
        </w:tc>
      </w:tr>
      <w:tr>
        <w:tc>
          <w:tcPr>
            <w:tcW w:type="dxa" w:w="4320"/>
          </w:tcPr>
          <w:p>
            <w:r/>
            <w:r>
              <w:rPr>
                <w:b/>
                <w:sz w:val="20"/>
              </w:rPr>
              <w:t>上市日期</w:t>
            </w:r>
          </w:p>
        </w:tc>
        <w:tc>
          <w:tcPr>
            <w:tcW w:type="dxa" w:w="4320"/>
          </w:tcPr>
          <w:p>
            <w:r/>
            <w:r>
              <w:rPr>
                <w:sz w:val="20"/>
              </w:rPr>
              <w:t>≈2018（最早报告期 2018-12-31 推断，无免费直接源）</w:t>
            </w:r>
          </w:p>
        </w:tc>
      </w:tr>
      <w:tr>
        <w:tc>
          <w:tcPr>
            <w:tcW w:type="dxa" w:w="4320"/>
          </w:tcPr>
          <w:p>
            <w:r/>
            <w:r>
              <w:rPr>
                <w:b/>
                <w:sz w:val="20"/>
              </w:rPr>
              <w:t>总部所在地</w:t>
            </w:r>
          </w:p>
        </w:tc>
        <w:tc>
          <w:tcPr>
            <w:tcW w:type="dxa" w:w="4320"/>
          </w:tcPr>
          <w:p>
            <w:r/>
            <w:r>
              <w:rPr>
                <w:sz w:val="20"/>
              </w:rPr>
              <w:t>浙江 浙江省平阳县水头镇标准园区宠乐路1号</w:t>
            </w:r>
          </w:p>
        </w:tc>
      </w:tr>
    </w:tbl>
    <w:p/>
    <w:p>
      <w:pPr/>
      <w:r>
        <w:rPr>
          <w:b/>
          <w:color w:val="1A3C6E"/>
          <w:sz w:val="32"/>
        </w:rPr>
        <w:t>2. 财务分析</w:t>
      </w:r>
    </w:p>
    <w:p/>
    <w:tbl>
      <w:tblPr>
        <w:tblStyle w:val="LightGrid-Accent1"/>
        <w:tblW w:type="auto" w:w="0"/>
        <w:jc w:val="center"/>
        <w:tblLook w:firstColumn="1" w:firstRow="1" w:lastColumn="0" w:lastRow="0" w:noHBand="0" w:noVBand="1" w:val="04A0"/>
      </w:tblPr>
      <w:tblGrid>
        <w:gridCol w:w="4320"/>
        <w:gridCol w:w="4320"/>
      </w:tblGrid>
      <w:tr>
        <w:tc>
          <w:tcPr>
            <w:tcW w:type="dxa" w:w="4320"/>
          </w:tcPr>
          <w:p>
            <w:r/>
            <w:r>
              <w:rPr>
                <w:b/>
                <w:sz w:val="20"/>
              </w:rPr>
              <w:t>营收趋势（同比）</w:t>
            </w:r>
          </w:p>
        </w:tc>
        <w:tc>
          <w:tcPr>
            <w:tcW w:type="dxa" w:w="4320"/>
          </w:tcPr>
          <w:p>
            <w:r/>
            <w:r>
              <w:rPr>
                <w:sz w:val="20"/>
              </w:rPr>
              <w:t>同比 +15.1%（报告期 2026-06-30）</w:t>
            </w:r>
          </w:p>
        </w:tc>
      </w:tr>
      <w:tr>
        <w:tc>
          <w:tcPr>
            <w:tcW w:type="dxa" w:w="4320"/>
          </w:tcPr>
          <w:p>
            <w:r/>
            <w:r>
              <w:rPr>
                <w:b/>
                <w:sz w:val="20"/>
              </w:rPr>
              <w:t>净利润趋势（同比）</w:t>
            </w:r>
          </w:p>
        </w:tc>
        <w:tc>
          <w:tcPr>
            <w:tcW w:type="dxa" w:w="4320"/>
          </w:tcPr>
          <w:p>
            <w:r/>
            <w:r>
              <w:rPr>
                <w:sz w:val="20"/>
              </w:rPr>
              <w:t>同比 -46.2%（报告期 2026-06-30）</w:t>
            </w:r>
          </w:p>
        </w:tc>
      </w:tr>
      <w:tr>
        <w:tc>
          <w:tcPr>
            <w:tcW w:type="dxa" w:w="4320"/>
          </w:tcPr>
          <w:p>
            <w:r/>
            <w:r>
              <w:rPr>
                <w:b/>
                <w:sz w:val="20"/>
              </w:rPr>
              <w:t>ROE (TTM)</w:t>
            </w:r>
          </w:p>
        </w:tc>
        <w:tc>
          <w:tcPr>
            <w:tcW w:type="dxa" w:w="4320"/>
          </w:tcPr>
          <w:p>
            <w:r/>
            <w:r>
              <w:rPr>
                <w:sz w:val="20"/>
              </w:rPr>
              <w:t>2.81%</w:t>
            </w:r>
          </w:p>
        </w:tc>
      </w:tr>
      <w:tr>
        <w:tc>
          <w:tcPr>
            <w:tcW w:type="dxa" w:w="4320"/>
          </w:tcPr>
          <w:p>
            <w:r/>
            <w:r>
              <w:rPr>
                <w:b/>
                <w:sz w:val="20"/>
              </w:rPr>
              <w:t>ROA (TTM)</w:t>
            </w:r>
          </w:p>
        </w:tc>
        <w:tc>
          <w:tcPr>
            <w:tcW w:type="dxa" w:w="4320"/>
          </w:tcPr>
          <w:p>
            <w:r/>
            <w:r>
              <w:rPr>
                <w:sz w:val="20"/>
              </w:rPr>
              <w:t>3.29%</w:t>
            </w:r>
          </w:p>
        </w:tc>
      </w:tr>
      <w:tr>
        <w:tc>
          <w:tcPr>
            <w:tcW w:type="dxa" w:w="4320"/>
          </w:tcPr>
          <w:p>
            <w:r/>
            <w:r>
              <w:rPr>
                <w:b/>
                <w:sz w:val="20"/>
              </w:rPr>
              <w:t>毛利率 (TTM)</w:t>
            </w:r>
          </w:p>
        </w:tc>
        <w:tc>
          <w:tcPr>
            <w:tcW w:type="dxa" w:w="4320"/>
          </w:tcPr>
          <w:p>
            <w:r/>
            <w:r>
              <w:rPr>
                <w:sz w:val="20"/>
              </w:rPr>
              <w:t>21.41%</w:t>
            </w:r>
          </w:p>
        </w:tc>
      </w:tr>
      <w:tr>
        <w:tc>
          <w:tcPr>
            <w:tcW w:type="dxa" w:w="4320"/>
          </w:tcPr>
          <w:p>
            <w:r/>
            <w:r>
              <w:rPr>
                <w:b/>
                <w:sz w:val="20"/>
              </w:rPr>
              <w:t>净利率 (TTM)</w:t>
            </w:r>
          </w:p>
        </w:tc>
        <w:tc>
          <w:tcPr>
            <w:tcW w:type="dxa" w:w="4320"/>
          </w:tcPr>
          <w:p>
            <w:r/>
            <w:r>
              <w:rPr>
                <w:sz w:val="20"/>
              </w:rPr>
              <w:t>6.80%</w:t>
            </w:r>
          </w:p>
        </w:tc>
      </w:tr>
      <w:tr>
        <w:tc>
          <w:tcPr>
            <w:tcW w:type="dxa" w:w="4320"/>
          </w:tcPr>
          <w:p>
            <w:r/>
            <w:r>
              <w:rPr>
                <w:b/>
                <w:sz w:val="20"/>
              </w:rPr>
              <w:t>负债权益比 (MRQ)</w:t>
            </w:r>
          </w:p>
        </w:tc>
        <w:tc>
          <w:tcPr>
            <w:tcW w:type="dxa" w:w="4320"/>
          </w:tcPr>
          <w:p>
            <w:r/>
            <w:r>
              <w:rPr>
                <w:sz w:val="20"/>
              </w:rPr>
              <w:t>0.1788</w:t>
            </w:r>
          </w:p>
        </w:tc>
      </w:tr>
      <w:tr>
        <w:tc>
          <w:tcPr>
            <w:tcW w:type="dxa" w:w="4320"/>
          </w:tcPr>
          <w:p>
            <w:r/>
            <w:r>
              <w:rPr>
                <w:b/>
                <w:sz w:val="20"/>
              </w:rPr>
              <w:t>经营现金流质量 (TTM)</w:t>
            </w:r>
          </w:p>
        </w:tc>
        <w:tc>
          <w:tcPr>
            <w:tcW w:type="dxa" w:w="4320"/>
          </w:tcPr>
          <w:p>
            <w:r/>
            <w:r>
              <w:rPr>
                <w:sz w:val="20"/>
              </w:rPr>
              <w:t>一般（OCF/NI = 0.8x）</w:t>
            </w:r>
          </w:p>
        </w:tc>
      </w:tr>
    </w:tbl>
    <w:p/>
    <w:p>
      <w:pPr/>
      <w:r>
        <w:rPr>
          <w:b/>
          <w:color w:val="1A3C6E"/>
          <w:sz w:val="32"/>
        </w:rPr>
        <w:t>3. 估值分析</w:t>
      </w:r>
    </w:p>
    <w:p/>
    <w:tbl>
      <w:tblPr>
        <w:tblStyle w:val="LightGrid-Accent1"/>
        <w:tblW w:type="auto" w:w="0"/>
        <w:jc w:val="center"/>
        <w:tblLook w:firstColumn="1" w:firstRow="1" w:lastColumn="0" w:lastRow="0" w:noHBand="0" w:noVBand="1" w:val="04A0"/>
      </w:tblPr>
      <w:tblGrid>
        <w:gridCol w:w="4320"/>
        <w:gridCol w:w="4320"/>
      </w:tblGrid>
      <w:tr>
        <w:tc>
          <w:tcPr>
            <w:tcW w:type="dxa" w:w="4320"/>
          </w:tcPr>
          <w:p>
            <w:r/>
            <w:r>
              <w:rPr>
                <w:b/>
                <w:sz w:val="20"/>
              </w:rPr>
              <w:t>市盈率 (TTM)</w:t>
            </w:r>
          </w:p>
        </w:tc>
        <w:tc>
          <w:tcPr>
            <w:tcW w:type="dxa" w:w="4320"/>
          </w:tcPr>
          <w:p>
            <w:r/>
            <w:r>
              <w:rPr>
                <w:sz w:val="20"/>
              </w:rPr>
              <w:t>38.51</w:t>
            </w:r>
          </w:p>
        </w:tc>
      </w:tr>
      <w:tr>
        <w:tc>
          <w:tcPr>
            <w:tcW w:type="dxa" w:w="4320"/>
          </w:tcPr>
          <w:p>
            <w:r/>
            <w:r>
              <w:rPr>
                <w:b/>
                <w:sz w:val="20"/>
              </w:rPr>
              <w:t>市净率 (MRQ)</w:t>
            </w:r>
          </w:p>
        </w:tc>
        <w:tc>
          <w:tcPr>
            <w:tcW w:type="dxa" w:w="4320"/>
          </w:tcPr>
          <w:p>
            <w:r/>
            <w:r>
              <w:rPr>
                <w:sz w:val="20"/>
              </w:rPr>
              <w:t>2.15</w:t>
            </w:r>
          </w:p>
        </w:tc>
      </w:tr>
      <w:tr>
        <w:tc>
          <w:tcPr>
            <w:tcW w:type="dxa" w:w="4320"/>
          </w:tcPr>
          <w:p>
            <w:r/>
            <w:r>
              <w:rPr>
                <w:b/>
                <w:sz w:val="20"/>
              </w:rPr>
              <w:t>EV / Revenue</w:t>
            </w:r>
          </w:p>
        </w:tc>
        <w:tc>
          <w:tcPr>
            <w:tcW w:type="dxa" w:w="4320"/>
          </w:tcPr>
          <w:p>
            <w:r/>
            <w:r>
              <w:rPr>
                <w:sz w:val="20"/>
              </w:rPr>
              <w:t>—</w:t>
            </w:r>
          </w:p>
        </w:tc>
      </w:tr>
      <w:tr>
        <w:tc>
          <w:tcPr>
            <w:tcW w:type="dxa" w:w="4320"/>
          </w:tcPr>
          <w:p>
            <w:r/>
            <w:r>
              <w:rPr>
                <w:b/>
                <w:sz w:val="20"/>
              </w:rPr>
              <w:t>EV / EBITDA</w:t>
            </w:r>
          </w:p>
        </w:tc>
        <w:tc>
          <w:tcPr>
            <w:tcW w:type="dxa" w:w="4320"/>
          </w:tcPr>
          <w:p>
            <w:r/>
            <w:r>
              <w:rPr>
                <w:sz w:val="20"/>
              </w:rPr>
              <w:t>—</w:t>
            </w:r>
          </w:p>
        </w:tc>
      </w:tr>
      <w:tr>
        <w:tc>
          <w:tcPr>
            <w:tcW w:type="dxa" w:w="4320"/>
          </w:tcPr>
          <w:p>
            <w:r/>
            <w:r>
              <w:rPr>
                <w:b/>
                <w:sz w:val="20"/>
              </w:rPr>
              <w:t>PEG比率 (TTM)</w:t>
            </w:r>
          </w:p>
        </w:tc>
        <w:tc>
          <w:tcPr>
            <w:tcW w:type="dxa" w:w="4320"/>
          </w:tcPr>
          <w:p>
            <w:r/>
            <w:r>
              <w:rPr>
                <w:sz w:val="20"/>
              </w:rPr>
              <w:t>Neg. Earnings</w:t>
            </w:r>
          </w:p>
        </w:tc>
      </w:tr>
      <w:tr>
        <w:tc>
          <w:tcPr>
            <w:tcW w:type="dxa" w:w="4320"/>
          </w:tcPr>
          <w:p>
            <w:r/>
            <w:r>
              <w:rPr>
                <w:b/>
                <w:sz w:val="20"/>
              </w:rPr>
              <w:t>PE 1年分位</w:t>
            </w:r>
          </w:p>
        </w:tc>
        <w:tc>
          <w:tcPr>
            <w:tcW w:type="dxa" w:w="4320"/>
          </w:tcPr>
          <w:p>
            <w:r/>
            <w:r>
              <w:rPr>
                <w:sz w:val="20"/>
              </w:rPr>
              <w:t>100%</w:t>
            </w:r>
          </w:p>
        </w:tc>
      </w:tr>
      <w:tr>
        <w:tc>
          <w:tcPr>
            <w:tcW w:type="dxa" w:w="4320"/>
          </w:tcPr>
          <w:p>
            <w:r/>
            <w:r>
              <w:rPr>
                <w:b/>
                <w:sz w:val="20"/>
              </w:rPr>
              <w:t>PE 3年分位</w:t>
            </w:r>
          </w:p>
        </w:tc>
        <w:tc>
          <w:tcPr>
            <w:tcW w:type="dxa" w:w="4320"/>
          </w:tcPr>
          <w:p>
            <w:r/>
            <w:r>
              <w:rPr>
                <w:sz w:val="20"/>
              </w:rPr>
              <w:t>100%</w:t>
            </w:r>
          </w:p>
        </w:tc>
      </w:tr>
      <w:tr>
        <w:tc>
          <w:tcPr>
            <w:tcW w:type="dxa" w:w="4320"/>
          </w:tcPr>
          <w:p>
            <w:r/>
            <w:r>
              <w:rPr>
                <w:b/>
                <w:sz w:val="20"/>
              </w:rPr>
              <w:t>PE 5年分位</w:t>
            </w:r>
          </w:p>
        </w:tc>
        <w:tc>
          <w:tcPr>
            <w:tcW w:type="dxa" w:w="4320"/>
          </w:tcPr>
          <w:p>
            <w:r/>
            <w:r>
              <w:rPr>
                <w:sz w:val="20"/>
              </w:rPr>
              <w:t>100%</w:t>
            </w:r>
          </w:p>
        </w:tc>
      </w:tr>
    </w:tbl>
    <w:p/>
    <w:p/>
    <w:p>
      <w:pPr>
        <w:jc w:val="center"/>
      </w:pPr>
      <w:r>
        <w:drawing>
          <wp:inline xmlns:a="http://schemas.openxmlformats.org/drawingml/2006/main" xmlns:pic="http://schemas.openxmlformats.org/drawingml/2006/picture">
            <wp:extent cx="5029200" cy="2111583"/>
            <wp:docPr id="1" name="Picture 1"/>
            <wp:cNvGraphicFramePr>
              <a:graphicFrameLocks noChangeAspect="1"/>
            </wp:cNvGraphicFramePr>
            <a:graphic>
              <a:graphicData uri="http://schemas.openxmlformats.org/drawingml/2006/picture">
                <pic:pic>
                  <pic:nvPicPr>
                    <pic:cNvPr id="0" name="001222.SZ_price.png"/>
                    <pic:cNvPicPr/>
                  </pic:nvPicPr>
                  <pic:blipFill>
                    <a:blip r:embed="rId9"/>
                    <a:stretch>
                      <a:fillRect/>
                    </a:stretch>
                  </pic:blipFill>
                  <pic:spPr>
                    <a:xfrm>
                      <a:off x="0" y="0"/>
                      <a:ext cx="5029200" cy="2111583"/>
                    </a:xfrm>
                    <a:prstGeom prst="rect"/>
                  </pic:spPr>
                </pic:pic>
              </a:graphicData>
            </a:graphic>
          </wp:inline>
        </w:drawing>
      </w:r>
    </w:p>
    <w:p>
      <w:pPr/>
      <w:r>
        <w:rPr>
          <w:b/>
          <w:color w:val="1A3C6E"/>
          <w:sz w:val="32"/>
        </w:rPr>
        <w:t>4. 市场与情绪分析</w:t>
      </w:r>
    </w:p>
    <w:p/>
    <w:tbl>
      <w:tblPr>
        <w:tblStyle w:val="LightGrid-Accent1"/>
        <w:tblW w:type="auto" w:w="0"/>
        <w:jc w:val="center"/>
        <w:tblLook w:firstColumn="1" w:firstRow="1" w:lastColumn="0" w:lastRow="0" w:noHBand="0" w:noVBand="1" w:val="04A0"/>
      </w:tblPr>
      <w:tblGrid>
        <w:gridCol w:w="4320"/>
        <w:gridCol w:w="4320"/>
      </w:tblGrid>
      <w:tr>
        <w:tc>
          <w:tcPr>
            <w:tcW w:type="dxa" w:w="4320"/>
          </w:tcPr>
          <w:p>
            <w:r/>
            <w:r>
              <w:rPr>
                <w:b/>
                <w:sz w:val="20"/>
              </w:rPr>
              <w:t>1月回报</w:t>
            </w:r>
          </w:p>
        </w:tc>
        <w:tc>
          <w:tcPr>
            <w:tcW w:type="dxa" w:w="4320"/>
          </w:tcPr>
          <w:p>
            <w:r/>
            <w:r>
              <w:rPr>
                <w:sz w:val="20"/>
              </w:rPr>
              <w:t>15.00%</w:t>
            </w:r>
          </w:p>
        </w:tc>
      </w:tr>
      <w:tr>
        <w:tc>
          <w:tcPr>
            <w:tcW w:type="dxa" w:w="4320"/>
          </w:tcPr>
          <w:p>
            <w:r/>
            <w:r>
              <w:rPr>
                <w:b/>
                <w:sz w:val="20"/>
              </w:rPr>
              <w:t>3月回报</w:t>
            </w:r>
          </w:p>
        </w:tc>
        <w:tc>
          <w:tcPr>
            <w:tcW w:type="dxa" w:w="4320"/>
          </w:tcPr>
          <w:p>
            <w:r/>
            <w:r>
              <w:rPr>
                <w:sz w:val="20"/>
              </w:rPr>
              <w:t>9.38%</w:t>
            </w:r>
          </w:p>
        </w:tc>
      </w:tr>
      <w:tr>
        <w:tc>
          <w:tcPr>
            <w:tcW w:type="dxa" w:w="4320"/>
          </w:tcPr>
          <w:p>
            <w:r/>
            <w:r>
              <w:rPr>
                <w:b/>
                <w:sz w:val="20"/>
              </w:rPr>
              <w:t>6月回报</w:t>
            </w:r>
          </w:p>
        </w:tc>
        <w:tc>
          <w:tcPr>
            <w:tcW w:type="dxa" w:w="4320"/>
          </w:tcPr>
          <w:p>
            <w:r/>
            <w:r>
              <w:rPr>
                <w:sz w:val="20"/>
              </w:rPr>
              <w:t>-23.04%</w:t>
            </w:r>
          </w:p>
        </w:tc>
      </w:tr>
      <w:tr>
        <w:tc>
          <w:tcPr>
            <w:tcW w:type="dxa" w:w="4320"/>
          </w:tcPr>
          <w:p>
            <w:r/>
            <w:r>
              <w:rPr>
                <w:b/>
                <w:sz w:val="20"/>
              </w:rPr>
              <w:t>12月回报</w:t>
            </w:r>
          </w:p>
        </w:tc>
        <w:tc>
          <w:tcPr>
            <w:tcW w:type="dxa" w:w="4320"/>
          </w:tcPr>
          <w:p>
            <w:r/>
            <w:r>
              <w:rPr>
                <w:sz w:val="20"/>
              </w:rPr>
              <w:t>-28.06%</w:t>
            </w:r>
          </w:p>
        </w:tc>
      </w:tr>
      <w:tr>
        <w:tc>
          <w:tcPr>
            <w:tcW w:type="dxa" w:w="4320"/>
          </w:tcPr>
          <w:p>
            <w:r/>
            <w:r>
              <w:rPr>
                <w:b/>
                <w:sz w:val="20"/>
              </w:rPr>
              <w:t>成交量趋势（1年对比）</w:t>
            </w:r>
          </w:p>
        </w:tc>
        <w:tc>
          <w:tcPr>
            <w:tcW w:type="dxa" w:w="4320"/>
          </w:tcPr>
          <w:p>
            <w:r/>
            <w:r>
              <w:rPr>
                <w:sz w:val="20"/>
              </w:rPr>
              <w:t>放量 13.2%（近21日均量 vs 前21日）</w:t>
            </w:r>
          </w:p>
        </w:tc>
      </w:tr>
      <w:tr>
        <w:tc>
          <w:tcPr>
            <w:tcW w:type="dxa" w:w="4320"/>
          </w:tcPr>
          <w:p>
            <w:r/>
            <w:r>
              <w:rPr>
                <w:b/>
                <w:sz w:val="20"/>
              </w:rPr>
              <w:t>新闻舆情（30日）</w:t>
            </w:r>
          </w:p>
        </w:tc>
        <w:tc>
          <w:tcPr>
            <w:tcW w:type="dxa" w:w="4320"/>
          </w:tcPr>
          <w:p>
            <w:r/>
            <w:r>
              <w:rPr>
                <w:sz w:val="20"/>
              </w:rPr>
              <w:t>2026-09-04 首板涨停（13:50:42封板，封单资金 0.21 亿），短线关注度上升；行业（文娱用品）板块联动。基于东财涨停池数据，非新闻聚合。</w:t>
            </w:r>
          </w:p>
        </w:tc>
      </w:tr>
    </w:tbl>
    <w:p/>
    <w:p/>
    <w:p>
      <w:pPr>
        <w:jc w:val="center"/>
      </w:pPr>
      <w:r>
        <w:drawing>
          <wp:inline xmlns:a="http://schemas.openxmlformats.org/drawingml/2006/main" xmlns:pic="http://schemas.openxmlformats.org/drawingml/2006/picture">
            <wp:extent cx="5029200" cy="1837738"/>
            <wp:docPr id="2" name="Picture 2"/>
            <wp:cNvGraphicFramePr>
              <a:graphicFrameLocks noChangeAspect="1"/>
            </wp:cNvGraphicFramePr>
            <a:graphic>
              <a:graphicData uri="http://schemas.openxmlformats.org/drawingml/2006/picture">
                <pic:pic>
                  <pic:nvPicPr>
                    <pic:cNvPr id="0" name="001222.SZ_monthly.png"/>
                    <pic:cNvPicPr/>
                  </pic:nvPicPr>
                  <pic:blipFill>
                    <a:blip r:embed="rId10"/>
                    <a:stretch>
                      <a:fillRect/>
                    </a:stretch>
                  </pic:blipFill>
                  <pic:spPr>
                    <a:xfrm>
                      <a:off x="0" y="0"/>
                      <a:ext cx="5029200" cy="1837738"/>
                    </a:xfrm>
                    <a:prstGeom prst="rect"/>
                  </pic:spPr>
                </pic:pic>
              </a:graphicData>
            </a:graphic>
          </wp:inline>
        </w:drawing>
      </w:r>
    </w:p>
    <w:p/>
    <w:p>
      <w:pPr>
        <w:jc w:val="center"/>
      </w:pPr>
      <w:r>
        <w:drawing>
          <wp:inline xmlns:a="http://schemas.openxmlformats.org/drawingml/2006/main" xmlns:pic="http://schemas.openxmlformats.org/drawingml/2006/picture">
            <wp:extent cx="4389120" cy="1863306"/>
            <wp:docPr id="3" name="Picture 3"/>
            <wp:cNvGraphicFramePr>
              <a:graphicFrameLocks noChangeAspect="1"/>
            </wp:cNvGraphicFramePr>
            <a:graphic>
              <a:graphicData uri="http://schemas.openxmlformats.org/drawingml/2006/picture">
                <pic:pic>
                  <pic:nvPicPr>
                    <pic:cNvPr id="0" name="001222.SZ_yearly.png"/>
                    <pic:cNvPicPr/>
                  </pic:nvPicPr>
                  <pic:blipFill>
                    <a:blip r:embed="rId11"/>
                    <a:stretch>
                      <a:fillRect/>
                    </a:stretch>
                  </pic:blipFill>
                  <pic:spPr>
                    <a:xfrm>
                      <a:off x="0" y="0"/>
                      <a:ext cx="4389120" cy="1863306"/>
                    </a:xfrm>
                    <a:prstGeom prst="rect"/>
                  </pic:spPr>
                </pic:pic>
              </a:graphicData>
            </a:graphic>
          </wp:inline>
        </w:drawing>
      </w:r>
    </w:p>
    <w:p>
      <w:pPr/>
      <w:r>
        <w:rPr>
          <w:b/>
          <w:color w:val="1A3C6E"/>
          <w:sz w:val="32"/>
        </w:rPr>
        <w:t>5. 风险评估</w:t>
      </w:r>
    </w:p>
    <w:p/>
    <w:tbl>
      <w:tblPr>
        <w:tblStyle w:val="LightGrid-Accent1"/>
        <w:tblW w:type="auto" w:w="0"/>
        <w:jc w:val="center"/>
        <w:tblLook w:firstColumn="1" w:firstRow="1" w:lastColumn="0" w:lastRow="0" w:noHBand="0" w:noVBand="1" w:val="04A0"/>
      </w:tblPr>
      <w:tblGrid>
        <w:gridCol w:w="2880"/>
        <w:gridCol w:w="2880"/>
        <w:gridCol w:w="2880"/>
      </w:tblGrid>
      <w:tr>
        <w:tc>
          <w:tcPr>
            <w:tcW w:type="dxa" w:w="2880"/>
          </w:tcPr>
          <w:p>
            <w:r>
              <w:rPr>
                <w:b/>
              </w:rPr>
              <w:t>风险因素</w:t>
            </w:r>
          </w:p>
        </w:tc>
        <w:tc>
          <w:tcPr>
            <w:tcW w:type="dxa" w:w="2880"/>
          </w:tcPr>
          <w:p>
            <w:r>
              <w:rPr>
                <w:b/>
              </w:rPr>
              <w:t>级别</w:t>
            </w:r>
          </w:p>
        </w:tc>
        <w:tc>
          <w:tcPr>
            <w:tcW w:type="dxa" w:w="2880"/>
          </w:tcPr>
          <w:p>
            <w:r>
              <w:rPr>
                <w:b/>
              </w:rPr>
              <w:t>缓解因素</w:t>
            </w:r>
          </w:p>
        </w:tc>
      </w:tr>
      <w:tr>
        <w:tc>
          <w:tcPr>
            <w:tcW w:type="dxa" w:w="2880"/>
          </w:tcPr>
          <w:p>
            <w:r>
              <w:t>短线交易风险：2026-09-04 首板涨停（13:50:42封板），情绪驱动成分高</w:t>
            </w:r>
          </w:p>
        </w:tc>
        <w:tc>
          <w:tcPr>
            <w:tcW w:type="dxa" w:w="2880"/>
            <w:shd w:fill="FFCCCC" w:val="clear"/>
          </w:tcPr>
          <w:p>
            <w:r>
              <w:t>High</w:t>
            </w:r>
          </w:p>
        </w:tc>
        <w:tc>
          <w:tcPr>
            <w:tcW w:type="dxa" w:w="2880"/>
          </w:tcPr>
          <w:p>
            <w:r>
              <w:t>本报告为 6–18 个月长期视角，不建议涨停次日追高；等待情绪回落后再评估入场点</w:t>
            </w:r>
          </w:p>
        </w:tc>
      </w:tr>
      <w:tr>
        <w:tc>
          <w:tcPr>
            <w:tcW w:type="dxa" w:w="2880"/>
          </w:tcPr>
          <w:p>
            <w:r>
              <w:t>业绩下滑风险：最新报告期归母净利同比 -46.2%</w:t>
            </w:r>
          </w:p>
        </w:tc>
        <w:tc>
          <w:tcPr>
            <w:tcW w:type="dxa" w:w="2880"/>
            <w:shd w:fill="FFCCCC" w:val="clear"/>
          </w:tcPr>
          <w:p>
            <w:r>
              <w:t>High</w:t>
            </w:r>
          </w:p>
        </w:tc>
        <w:tc>
          <w:tcPr>
            <w:tcW w:type="dxa" w:w="2880"/>
          </w:tcPr>
          <w:p>
            <w:r>
              <w:t>以季报验证拐点；若连续两期下滑应下修评级</w:t>
            </w:r>
          </w:p>
        </w:tc>
      </w:tr>
      <w:tr>
        <w:tc>
          <w:tcPr>
            <w:tcW w:type="dxa" w:w="2880"/>
          </w:tcPr>
          <w:p>
            <w:r>
              <w:t>估值风险：PE TTM 处于近5年 100% 分位（偏高）</w:t>
            </w:r>
          </w:p>
        </w:tc>
        <w:tc>
          <w:tcPr>
            <w:tcW w:type="dxa" w:w="2880"/>
            <w:shd w:fill="FFF3CD" w:val="clear"/>
          </w:tcPr>
          <w:p>
            <w:r>
              <w:t>Medium</w:t>
            </w:r>
          </w:p>
        </w:tc>
        <w:tc>
          <w:tcPr>
            <w:tcW w:type="dxa" w:w="2880"/>
          </w:tcPr>
          <w:p>
            <w:r>
              <w:t>估值回归风险需以成长性消化，注意预期差</w:t>
            </w:r>
          </w:p>
        </w:tc>
      </w:tr>
      <w:tr>
        <w:tc>
          <w:tcPr>
            <w:tcW w:type="dxa" w:w="2880"/>
          </w:tcPr>
          <w:p>
            <w:r>
              <w:t>流动性风险：流通市值仅 18.2 亿，波动放大</w:t>
            </w:r>
          </w:p>
        </w:tc>
        <w:tc>
          <w:tcPr>
            <w:tcW w:type="dxa" w:w="2880"/>
            <w:shd w:fill="FFF3CD" w:val="clear"/>
          </w:tcPr>
          <w:p>
            <w:r>
              <w:t>Medium</w:t>
            </w:r>
          </w:p>
        </w:tc>
        <w:tc>
          <w:tcPr>
            <w:tcW w:type="dxa" w:w="2880"/>
          </w:tcPr>
          <w:p>
            <w:r>
              <w:t>小流通盘对资金敏感，控制仓位</w:t>
            </w:r>
          </w:p>
        </w:tc>
      </w:tr>
    </w:tbl>
    <w:p/>
    <w:p>
      <w:pPr/>
      <w:r>
        <w:rPr>
          <w:b/>
          <w:color w:val="1A3C6E"/>
          <w:sz w:val="32"/>
        </w:rPr>
        <w:t>6. 长期投资决策</w:t>
      </w:r>
    </w:p>
    <w:p/>
    <w:tbl>
      <w:tblPr>
        <w:tblStyle w:val="LightGrid-Accent1"/>
        <w:tblW w:type="auto" w:w="0"/>
        <w:jc w:val="center"/>
        <w:tblLook w:firstColumn="1" w:firstRow="1" w:lastColumn="0" w:lastRow="0" w:noHBand="0" w:noVBand="1" w:val="04A0"/>
      </w:tblPr>
      <w:tblGrid>
        <w:gridCol w:w="2160"/>
        <w:gridCol w:w="2160"/>
        <w:gridCol w:w="2160"/>
        <w:gridCol w:w="2160"/>
      </w:tblGrid>
      <w:tr>
        <w:tc>
          <w:tcPr>
            <w:tcW w:type="dxa" w:w="2160"/>
          </w:tcPr>
          <w:p>
            <w:r/>
            <w:r>
              <w:rPr>
                <w:b/>
                <w:sz w:val="20"/>
              </w:rPr>
              <w:t>维度</w:t>
            </w:r>
          </w:p>
        </w:tc>
        <w:tc>
          <w:tcPr>
            <w:tcW w:type="dxa" w:w="2160"/>
          </w:tcPr>
          <w:p>
            <w:r/>
            <w:r>
              <w:rPr>
                <w:b/>
                <w:sz w:val="20"/>
              </w:rPr>
              <w:t>权重</w:t>
            </w:r>
          </w:p>
        </w:tc>
        <w:tc>
          <w:tcPr>
            <w:tcW w:type="dxa" w:w="2160"/>
          </w:tcPr>
          <w:p>
            <w:r/>
            <w:r>
              <w:rPr>
                <w:b/>
                <w:sz w:val="20"/>
              </w:rPr>
              <w:t>得分 (1–10)</w:t>
            </w:r>
          </w:p>
        </w:tc>
        <w:tc>
          <w:tcPr>
            <w:tcW w:type="dxa" w:w="2160"/>
          </w:tcPr>
          <w:p>
            <w:r/>
            <w:r>
              <w:rPr>
                <w:b/>
                <w:sz w:val="20"/>
              </w:rPr>
              <w:t>理由</w:t>
            </w:r>
          </w:p>
        </w:tc>
      </w:tr>
      <w:tr>
        <w:tc>
          <w:tcPr>
            <w:tcW w:type="dxa" w:w="2160"/>
          </w:tcPr>
          <w:p>
            <w:r/>
            <w:r>
              <w:rPr>
                <w:b/>
                <w:sz w:val="20"/>
              </w:rPr>
              <w:t>财务健康</w:t>
            </w:r>
          </w:p>
        </w:tc>
        <w:tc>
          <w:tcPr>
            <w:tcW w:type="dxa" w:w="2160"/>
          </w:tcPr>
          <w:p>
            <w:r/>
            <w:r>
              <w:rPr>
                <w:sz w:val="20"/>
              </w:rPr>
              <w:t>20%</w:t>
            </w:r>
          </w:p>
        </w:tc>
        <w:tc>
          <w:tcPr>
            <w:tcW w:type="dxa" w:w="2160"/>
          </w:tcPr>
          <w:p>
            <w:r/>
            <w:r>
              <w:rPr>
                <w:sz w:val="20"/>
              </w:rPr>
              <w:t>6</w:t>
            </w:r>
          </w:p>
        </w:tc>
        <w:tc>
          <w:tcPr>
            <w:tcW w:type="dxa" w:w="2160"/>
          </w:tcPr>
          <w:p>
            <w:r/>
            <w:r>
              <w:rPr>
                <w:sz w:val="20"/>
              </w:rPr>
              <w:t>负债/权益 0.18(低杠杆)。</w:t>
            </w:r>
          </w:p>
        </w:tc>
      </w:tr>
      <w:tr>
        <w:tc>
          <w:tcPr>
            <w:tcW w:type="dxa" w:w="2160"/>
          </w:tcPr>
          <w:p>
            <w:r/>
            <w:r>
              <w:rPr>
                <w:b/>
                <w:sz w:val="20"/>
              </w:rPr>
              <w:t>成长性</w:t>
            </w:r>
          </w:p>
        </w:tc>
        <w:tc>
          <w:tcPr>
            <w:tcW w:type="dxa" w:w="2160"/>
          </w:tcPr>
          <w:p>
            <w:r/>
            <w:r>
              <w:rPr>
                <w:sz w:val="20"/>
              </w:rPr>
              <w:t>20%</w:t>
            </w:r>
          </w:p>
        </w:tc>
        <w:tc>
          <w:tcPr>
            <w:tcW w:type="dxa" w:w="2160"/>
          </w:tcPr>
          <w:p>
            <w:r/>
            <w:r>
              <w:rPr>
                <w:sz w:val="20"/>
              </w:rPr>
              <w:t>6</w:t>
            </w:r>
          </w:p>
        </w:tc>
        <w:tc>
          <w:tcPr>
            <w:tcW w:type="dxa" w:w="2160"/>
          </w:tcPr>
          <w:p>
            <w:r/>
            <w:r>
              <w:rPr>
                <w:sz w:val="20"/>
              </w:rPr>
              <w:t>营收同比 +15.1%、净利同比 -46.2%（最新报告期）→ 低增长。</w:t>
            </w:r>
          </w:p>
        </w:tc>
      </w:tr>
      <w:tr>
        <w:tc>
          <w:tcPr>
            <w:tcW w:type="dxa" w:w="2160"/>
          </w:tcPr>
          <w:p>
            <w:r/>
            <w:r>
              <w:rPr>
                <w:b/>
                <w:sz w:val="20"/>
              </w:rPr>
              <w:t>估值</w:t>
            </w:r>
          </w:p>
        </w:tc>
        <w:tc>
          <w:tcPr>
            <w:tcW w:type="dxa" w:w="2160"/>
          </w:tcPr>
          <w:p>
            <w:r/>
            <w:r>
              <w:rPr>
                <w:sz w:val="20"/>
              </w:rPr>
              <w:t>20%</w:t>
            </w:r>
          </w:p>
        </w:tc>
        <w:tc>
          <w:tcPr>
            <w:tcW w:type="dxa" w:w="2160"/>
          </w:tcPr>
          <w:p>
            <w:r/>
            <w:r>
              <w:rPr>
                <w:sz w:val="20"/>
              </w:rPr>
              <w:t>2</w:t>
            </w:r>
          </w:p>
        </w:tc>
        <w:tc>
          <w:tcPr>
            <w:tcW w:type="dxa" w:w="2160"/>
          </w:tcPr>
          <w:p>
            <w:r/>
            <w:r>
              <w:rPr>
                <w:sz w:val="20"/>
              </w:rPr>
              <w:t>PE TTM 38.5，5年点-in-time分位 100% → 历史高位。</w:t>
            </w:r>
          </w:p>
        </w:tc>
      </w:tr>
      <w:tr>
        <w:tc>
          <w:tcPr>
            <w:tcW w:type="dxa" w:w="2160"/>
          </w:tcPr>
          <w:p>
            <w:r/>
            <w:r>
              <w:rPr>
                <w:b/>
                <w:sz w:val="20"/>
              </w:rPr>
              <w:t>动量与情绪</w:t>
            </w:r>
          </w:p>
        </w:tc>
        <w:tc>
          <w:tcPr>
            <w:tcW w:type="dxa" w:w="2160"/>
          </w:tcPr>
          <w:p>
            <w:r/>
            <w:r>
              <w:rPr>
                <w:sz w:val="20"/>
              </w:rPr>
              <w:t>15%</w:t>
            </w:r>
          </w:p>
        </w:tc>
        <w:tc>
          <w:tcPr>
            <w:tcW w:type="dxa" w:w="2160"/>
          </w:tcPr>
          <w:p>
            <w:r/>
            <w:r>
              <w:rPr>
                <w:sz w:val="20"/>
              </w:rPr>
              <w:t>6</w:t>
            </w:r>
          </w:p>
        </w:tc>
        <w:tc>
          <w:tcPr>
            <w:tcW w:type="dxa" w:w="2160"/>
          </w:tcPr>
          <w:p>
            <w:r/>
            <w:r>
              <w:rPr>
                <w:sz w:val="20"/>
              </w:rPr>
              <w:t>12月下跌 -28%。</w:t>
            </w:r>
          </w:p>
        </w:tc>
      </w:tr>
      <w:tr>
        <w:tc>
          <w:tcPr>
            <w:tcW w:type="dxa" w:w="2160"/>
          </w:tcPr>
          <w:p>
            <w:r/>
            <w:r>
              <w:rPr>
                <w:b/>
                <w:sz w:val="20"/>
              </w:rPr>
              <w:t>行业地位</w:t>
            </w:r>
          </w:p>
        </w:tc>
        <w:tc>
          <w:tcPr>
            <w:tcW w:type="dxa" w:w="2160"/>
          </w:tcPr>
          <w:p>
            <w:r/>
            <w:r>
              <w:rPr>
                <w:sz w:val="20"/>
              </w:rPr>
              <w:t>10%</w:t>
            </w:r>
          </w:p>
        </w:tc>
        <w:tc>
          <w:tcPr>
            <w:tcW w:type="dxa" w:w="2160"/>
          </w:tcPr>
          <w:p>
            <w:r/>
            <w:r>
              <w:rPr>
                <w:sz w:val="20"/>
              </w:rPr>
              <w:t>6</w:t>
            </w:r>
          </w:p>
        </w:tc>
        <w:tc>
          <w:tcPr>
            <w:tcW w:type="dxa" w:w="2160"/>
          </w:tcPr>
          <w:p>
            <w:r/>
            <w:r>
              <w:rPr>
                <w:sz w:val="20"/>
              </w:rPr>
              <w:t>总市值 31 亿（中型）。</w:t>
            </w:r>
          </w:p>
        </w:tc>
      </w:tr>
      <w:tr>
        <w:tc>
          <w:tcPr>
            <w:tcW w:type="dxa" w:w="2160"/>
          </w:tcPr>
          <w:p>
            <w:r/>
            <w:r>
              <w:rPr>
                <w:b/>
                <w:sz w:val="20"/>
              </w:rPr>
              <w:t>风险状况</w:t>
            </w:r>
          </w:p>
        </w:tc>
        <w:tc>
          <w:tcPr>
            <w:tcW w:type="dxa" w:w="2160"/>
          </w:tcPr>
          <w:p>
            <w:r/>
            <w:r>
              <w:rPr>
                <w:sz w:val="20"/>
              </w:rPr>
              <w:t>15%</w:t>
            </w:r>
          </w:p>
        </w:tc>
        <w:tc>
          <w:tcPr>
            <w:tcW w:type="dxa" w:w="2160"/>
          </w:tcPr>
          <w:p>
            <w:r/>
            <w:r>
              <w:rPr>
                <w:sz w:val="20"/>
              </w:rPr>
              <w:t>4</w:t>
            </w:r>
          </w:p>
        </w:tc>
        <w:tc>
          <w:tcPr>
            <w:tcW w:type="dxa" w:w="2160"/>
          </w:tcPr>
          <w:p>
            <w:r/>
            <w:r>
              <w:rPr>
                <w:sz w:val="20"/>
              </w:rPr>
              <w:t>4 项风险（High×2/Medium×2/Low×0），扣减 3.0。</w:t>
            </w:r>
          </w:p>
        </w:tc>
      </w:tr>
      <w:tr>
        <w:tc>
          <w:tcPr>
            <w:tcW w:type="dxa" w:w="2160"/>
          </w:tcPr>
          <w:p>
            <w:r/>
            <w:r>
              <w:rPr>
                <w:b/>
                <w:sz w:val="20"/>
              </w:rPr>
              <w:t>总计</w:t>
            </w:r>
          </w:p>
        </w:tc>
        <w:tc>
          <w:tcPr>
            <w:tcW w:type="dxa" w:w="2160"/>
          </w:tcPr>
          <w:p>
            <w:r/>
            <w:r>
              <w:rPr>
                <w:b/>
                <w:sz w:val="20"/>
              </w:rPr>
              <w:t>100%</w:t>
            </w:r>
          </w:p>
        </w:tc>
        <w:tc>
          <w:tcPr>
            <w:tcW w:type="dxa" w:w="2160"/>
          </w:tcPr>
          <w:p>
            <w:r/>
            <w:r>
              <w:rPr>
                <w:b/>
                <w:sz w:val="20"/>
              </w:rPr>
              <w:t>4.93</w:t>
            </w:r>
          </w:p>
        </w:tc>
        <w:tc>
          <w:tcPr>
            <w:tcW w:type="dxa" w:w="2160"/>
          </w:tcPr>
          <w:p>
            <w:r/>
            <w:r>
              <w:rPr>
                <w:b/>
                <w:sz w:val="20"/>
              </w:rPr>
              <w:t>→ SELL</w:t>
            </w:r>
          </w:p>
        </w:tc>
      </w:tr>
    </w:tbl>
    <w:p/>
    <w:p/>
    <w:p>
      <w:pPr>
        <w:jc w:val="center"/>
      </w:pPr>
      <w:r>
        <w:rPr>
          <w:b/>
          <w:color w:val="CC0000"/>
          <w:sz w:val="56"/>
        </w:rPr>
        <w:t xml:space="preserve">  SELL  </w:t>
      </w:r>
    </w:p>
    <w:p>
      <w:pPr>
        <w:jc w:val="center"/>
      </w:pPr>
      <w:r>
        <w:rPr>
          <w:b/>
          <w:color w:val="333333"/>
          <w:sz w:val="28"/>
        </w:rPr>
        <w:t>长期投资决策（6–18个月）</w:t>
      </w:r>
    </w:p>
    <w:p>
      <w:pPr>
        <w:jc w:val="center"/>
      </w:pPr>
      <w:r>
        <w:rPr>
          <w:color w:val="333333"/>
          <w:sz w:val="24"/>
        </w:rPr>
        <w:t>置信度: 51%</w:t>
      </w:r>
    </w:p>
    <w:p/>
    <w:p>
      <w:pPr/>
      <w:r>
        <w:rPr>
          <w:color w:val="333333"/>
          <w:sz w:val="22"/>
        </w:rPr>
        <w:t>长期（6–18个月）视角：源飞宠物（001222.SZ）综合加权得分 4.93/10 → SELL。财务：负债/权益 0.18(低杠杆)。 成长：营收同比 +15.1%、净利同比 -46.2%（最新报告期）→ 低增长。 估值：PE TTM 38.5，5年点-in-time分位 100% → 历史高位。 动量：12月下跌 -28%。 行业地位：总市值 31 亿（中型）。 风险：4 项风险（High×2/Medium×2/Low×0），扣减 3.0。置信度 51%。首板涨停属短线事件，本报告仅给出长期视角参考，不构成短线交易信号。</w:t>
      </w:r>
    </w:p>
    <w:p>
      <w:r>
        <w:br w:type="page"/>
      </w:r>
    </w:p>
    <w:p>
      <w:pPr/>
      <w:r>
        <w:rPr>
          <w:b/>
          <w:color w:val="1A3C6E"/>
          <w:sz w:val="32"/>
        </w:rPr>
        <w:t>8. 数据来源与参考文献</w:t>
      </w:r>
    </w:p>
    <w:p/>
    <w:p>
      <w:pPr/>
      <w:r>
        <w:rPr>
          <w:color w:val="333333"/>
          <w:sz w:val="18"/>
        </w:rPr>
        <w:t>1. Financial data: 东财 datacenter RPT_F10_FINANCE_MAINFINADATA（季度累计，北交所覆盖）</w:t>
      </w:r>
    </w:p>
    <w:p>
      <w:pPr/>
      <w:r>
        <w:rPr>
          <w:color w:val="333333"/>
          <w:sz w:val="18"/>
        </w:rPr>
        <w:t>2. Price data: 新浪财经日K线 CN_MarketDataService.getKLineData（symbol=sz001222，1600日）</w:t>
      </w:r>
    </w:p>
    <w:p>
      <w:pPr/>
      <w:r>
        <w:rPr>
          <w:color w:val="333333"/>
          <w:sz w:val="18"/>
        </w:rPr>
        <w:t>3. News &amp; sentiment: 东财涨停池（push2ex，2026-09-04）——事实性事件描述，非新闻聚合</w:t>
      </w:r>
    </w:p>
    <w:p>
      <w:pPr/>
      <w:r>
        <w:rPr>
          <w:color w:val="333333"/>
          <w:sz w:val="18"/>
        </w:rPr>
        <w:t>4. Analyst ratings: 无免费源（未披露，未纳入评分）</w:t>
      </w:r>
    </w:p>
    <w:p>
      <w:pPr/>
      <w:r>
        <w:rPr>
          <w:color w:val="333333"/>
          <w:sz w:val="18"/>
        </w:rPr>
        <w:t>5. Industry research: 申万一级行业中位PE（抽样≤30，腾讯批量PE）</w:t>
      </w:r>
    </w:p>
    <w:p>
      <w:pPr/>
      <w:r>
        <w:rPr>
          <w:color w:val="333333"/>
          <w:sz w:val="18"/>
        </w:rPr>
        <w:t>6. Risk factors: CSDC 质押数据（shim get_stock_pledge）+ 东财涨停池 push2ex getTopicZTPool（2026-09-04）</w:t>
      </w:r>
    </w:p>
    <w:p>
      <w:pPr/>
      <w:r>
        <w:rPr>
          <w:color w:val="333333"/>
          <w:sz w:val="18"/>
        </w:rPr>
        <w:t>7. Company info: 东财 F10 CompanySurvey PageAjax（ORG_PROFILE/ADDRESS）</w:t>
      </w:r>
    </w:p>
    <w:p/>
    <w:p>
      <w:pPr/>
      <w:r>
        <w:rPr>
          <w:color w:val="999999"/>
          <w:sz w:val="16"/>
        </w:rPr>
        <w:t>Report generated: 2026-09-04</w:t>
      </w:r>
    </w:p>
    <w:p>
      <w:pPr/>
      <w:r>
        <w:rPr>
          <w:color w:val="999999"/>
          <w:sz w:val="16"/>
        </w:rPr>
        <w:t>本报告由AI生成，仅供研究参考，不构成投资建议。</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