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pPr>
        <w:jc w:val="center"/>
      </w:pPr>
      <w:r>
        <w:rPr>
          <w:b/>
          <w:color w:val="1A3C6E"/>
          <w:sz w:val="56"/>
        </w:rPr>
        <w:t>天沃科技</w:t>
      </w:r>
    </w:p>
    <w:p>
      <w:pPr>
        <w:jc w:val="center"/>
      </w:pPr>
      <w:r>
        <w:rPr>
          <w:color w:val="333333"/>
          <w:sz w:val="28"/>
        </w:rPr>
        <w:t>002564.SZ  ·  CN</w:t>
      </w:r>
    </w:p>
    <w:p/>
    <w:p/>
    <w:p>
      <w:pPr>
        <w:jc w:val="center"/>
      </w:pPr>
      <w:r>
        <w:rPr>
          <w:color w:val="1A3C6E"/>
          <w:sz w:val="32"/>
        </w:rPr>
        <w:t>投资决策报告</w:t>
      </w:r>
    </w:p>
    <w:p/>
    <w:p>
      <w:pPr>
        <w:jc w:val="center"/>
      </w:pPr>
      <w:r>
        <w:rPr>
          <w:color w:val="333333"/>
          <w:sz w:val="24"/>
        </w:rPr>
        <w:t>报告日期: 2026-09-04</w:t>
      </w:r>
    </w:p>
    <w:p>
      <w:r>
        <w:br w:type="page"/>
      </w:r>
    </w:p>
    <w:p>
      <w:pPr/>
      <w:r>
        <w:rPr>
          <w:b/>
          <w:color w:val="1A3C6E"/>
          <w:sz w:val="32"/>
        </w:rPr>
        <w:t>1. 公司概览</w:t>
      </w:r>
    </w:p>
    <w:p/>
    <w:p>
      <w:pPr/>
      <w:r>
        <w:rPr>
          <w:color w:val="333333"/>
          <w:sz w:val="20"/>
        </w:rPr>
        <w:t>苏州天沃科技股份有限公司(股票简称:天沃科技;股票代码:002564)是上海电气集团旗下控股子公司。公司旗下共有张化机(苏州)重装有限公司、无锡红旗船厂有限公司、张家港市江南锻造有限公司等多家子公司。主营业务包括电力设计及系统解决方案、高端装备制造、国防建设三大板块,涉及能源、环保、电力、装备、军工、船舶等国民经济重要产业领域。天沃科技是一家以深耕电力设计及系统解决方案业务领域,以高端装备制造为产业基础,以军民融合为产业突破方向的新型混合所有制上市公司。公司着力加快以光热、风电、氢能等新能源为代表的能源工程业务发展,积极探索进入具有稳定现金流和较好投资回报的石化、炼化行业的途径,为公司发展增加新的动力。天沃科技秉承以智能技术为引领,所从事的行业和业务成为国际先进、国内一流的全生命周期综合解决方案提供者和服务商的企业愿景,致力于用科技改变世界,造福人类,努力打造一流清洁能源系统工程服务商和国防科工发展建设的重要力量!</w:t>
      </w:r>
    </w:p>
    <w:p/>
    <w:tbl>
      <w:tblPr>
        <w:tblStyle w:val="LightGrid-Accent1"/>
        <w:tblW w:type="auto" w:w="0"/>
        <w:jc w:val="center"/>
        <w:tblLook w:firstColumn="1" w:firstRow="1" w:lastColumn="0" w:lastRow="0" w:noHBand="0" w:noVBand="1" w:val="04A0"/>
      </w:tblPr>
      <w:tblGrid>
        <w:gridCol w:w="4320"/>
        <w:gridCol w:w="4320"/>
      </w:tblGrid>
      <w:tr>
        <w:tc>
          <w:tcPr>
            <w:tcW w:type="dxa" w:w="4320"/>
          </w:tcPr>
          <w:p>
            <w:r/>
            <w:r>
              <w:rPr>
                <w:b/>
                <w:sz w:val="20"/>
              </w:rPr>
              <w:t>公司名称</w:t>
            </w:r>
          </w:p>
        </w:tc>
        <w:tc>
          <w:tcPr>
            <w:tcW w:type="dxa" w:w="4320"/>
          </w:tcPr>
          <w:p>
            <w:r/>
            <w:r>
              <w:rPr>
                <w:sz w:val="20"/>
              </w:rPr>
              <w:t>天沃科技</w:t>
            </w:r>
          </w:p>
        </w:tc>
      </w:tr>
      <w:tr>
        <w:tc>
          <w:tcPr>
            <w:tcW w:type="dxa" w:w="4320"/>
          </w:tcPr>
          <w:p>
            <w:r/>
            <w:r>
              <w:rPr>
                <w:b/>
                <w:sz w:val="20"/>
              </w:rPr>
              <w:t>股票代码</w:t>
            </w:r>
          </w:p>
        </w:tc>
        <w:tc>
          <w:tcPr>
            <w:tcW w:type="dxa" w:w="4320"/>
          </w:tcPr>
          <w:p>
            <w:r/>
            <w:r>
              <w:rPr>
                <w:sz w:val="20"/>
              </w:rPr>
              <w:t>002564.SZ</w:t>
            </w:r>
          </w:p>
        </w:tc>
      </w:tr>
      <w:tr>
        <w:tc>
          <w:tcPr>
            <w:tcW w:type="dxa" w:w="4320"/>
          </w:tcPr>
          <w:p>
            <w:r/>
            <w:r>
              <w:rPr>
                <w:b/>
                <w:sz w:val="20"/>
              </w:rPr>
              <w:t>市场</w:t>
            </w:r>
          </w:p>
        </w:tc>
        <w:tc>
          <w:tcPr>
            <w:tcW w:type="dxa" w:w="4320"/>
          </w:tcPr>
          <w:p>
            <w:r/>
            <w:r>
              <w:rPr>
                <w:sz w:val="20"/>
              </w:rPr>
              <w:t>cn</w:t>
            </w:r>
          </w:p>
        </w:tc>
      </w:tr>
      <w:tr>
        <w:tc>
          <w:tcPr>
            <w:tcW w:type="dxa" w:w="4320"/>
          </w:tcPr>
          <w:p>
            <w:r/>
            <w:r>
              <w:rPr>
                <w:b/>
                <w:sz w:val="20"/>
              </w:rPr>
              <w:t>行业</w:t>
            </w:r>
          </w:p>
        </w:tc>
        <w:tc>
          <w:tcPr>
            <w:tcW w:type="dxa" w:w="4320"/>
          </w:tcPr>
          <w:p>
            <w:r/>
            <w:r>
              <w:rPr>
                <w:sz w:val="20"/>
              </w:rPr>
              <w:t>专用设备</w:t>
            </w:r>
          </w:p>
        </w:tc>
      </w:tr>
      <w:tr>
        <w:tc>
          <w:tcPr>
            <w:tcW w:type="dxa" w:w="4320"/>
          </w:tcPr>
          <w:p>
            <w:r/>
            <w:r>
              <w:rPr>
                <w:b/>
                <w:sz w:val="20"/>
              </w:rPr>
              <w:t>上市日期</w:t>
            </w:r>
          </w:p>
        </w:tc>
        <w:tc>
          <w:tcPr>
            <w:tcW w:type="dxa" w:w="4320"/>
          </w:tcPr>
          <w:p>
            <w:r/>
            <w:r>
              <w:rPr>
                <w:sz w:val="20"/>
              </w:rPr>
              <w:t>≈2007（最早报告期 2007-12-31 推断，无免费直接源）</w:t>
            </w:r>
          </w:p>
        </w:tc>
      </w:tr>
      <w:tr>
        <w:tc>
          <w:tcPr>
            <w:tcW w:type="dxa" w:w="4320"/>
          </w:tcPr>
          <w:p>
            <w:r/>
            <w:r>
              <w:rPr>
                <w:b/>
                <w:sz w:val="20"/>
              </w:rPr>
              <w:t>总部所在地</w:t>
            </w:r>
          </w:p>
        </w:tc>
        <w:tc>
          <w:tcPr>
            <w:tcW w:type="dxa" w:w="4320"/>
          </w:tcPr>
          <w:p>
            <w:r/>
            <w:r>
              <w:rPr>
                <w:sz w:val="20"/>
              </w:rPr>
              <w:t>江苏 上海市普陀区中山北路1715号E座3楼</w:t>
            </w:r>
          </w:p>
        </w:tc>
      </w:tr>
    </w:tbl>
    <w:p/>
    <w:p>
      <w:pPr/>
      <w:r>
        <w:rPr>
          <w:b/>
          <w:color w:val="1A3C6E"/>
          <w:sz w:val="32"/>
        </w:rPr>
        <w:t>2. 财务分析</w:t>
      </w:r>
    </w:p>
    <w:p/>
    <w:tbl>
      <w:tblPr>
        <w:tblStyle w:val="LightGrid-Accent1"/>
        <w:tblW w:type="auto" w:w="0"/>
        <w:jc w:val="center"/>
        <w:tblLook w:firstColumn="1" w:firstRow="1" w:lastColumn="0" w:lastRow="0" w:noHBand="0" w:noVBand="1" w:val="04A0"/>
      </w:tblPr>
      <w:tblGrid>
        <w:gridCol w:w="4320"/>
        <w:gridCol w:w="4320"/>
      </w:tblGrid>
      <w:tr>
        <w:tc>
          <w:tcPr>
            <w:tcW w:type="dxa" w:w="4320"/>
          </w:tcPr>
          <w:p>
            <w:r/>
            <w:r>
              <w:rPr>
                <w:b/>
                <w:sz w:val="20"/>
              </w:rPr>
              <w:t>营收趋势（同比）</w:t>
            </w:r>
          </w:p>
        </w:tc>
        <w:tc>
          <w:tcPr>
            <w:tcW w:type="dxa" w:w="4320"/>
          </w:tcPr>
          <w:p>
            <w:r/>
            <w:r>
              <w:rPr>
                <w:sz w:val="20"/>
              </w:rPr>
              <w:t>同比 -22.0%（报告期 2026-06-30）</w:t>
            </w:r>
          </w:p>
        </w:tc>
      </w:tr>
      <w:tr>
        <w:tc>
          <w:tcPr>
            <w:tcW w:type="dxa" w:w="4320"/>
          </w:tcPr>
          <w:p>
            <w:r/>
            <w:r>
              <w:rPr>
                <w:b/>
                <w:sz w:val="20"/>
              </w:rPr>
              <w:t>净利润趋势（同比）</w:t>
            </w:r>
          </w:p>
        </w:tc>
        <w:tc>
          <w:tcPr>
            <w:tcW w:type="dxa" w:w="4320"/>
          </w:tcPr>
          <w:p>
            <w:r/>
            <w:r>
              <w:rPr>
                <w:sz w:val="20"/>
              </w:rPr>
              <w:t>同比 -757.8%（报告期 2026-06-30）</w:t>
            </w:r>
          </w:p>
        </w:tc>
      </w:tr>
      <w:tr>
        <w:tc>
          <w:tcPr>
            <w:tcW w:type="dxa" w:w="4320"/>
          </w:tcPr>
          <w:p>
            <w:r/>
            <w:r>
              <w:rPr>
                <w:b/>
                <w:sz w:val="20"/>
              </w:rPr>
              <w:t>ROE (TTM)</w:t>
            </w:r>
          </w:p>
        </w:tc>
        <w:tc>
          <w:tcPr>
            <w:tcW w:type="dxa" w:w="4320"/>
          </w:tcPr>
          <w:p>
            <w:r/>
            <w:r>
              <w:rPr>
                <w:sz w:val="20"/>
              </w:rPr>
              <w:t>-52.46%</w:t>
            </w:r>
          </w:p>
        </w:tc>
      </w:tr>
      <w:tr>
        <w:tc>
          <w:tcPr>
            <w:tcW w:type="dxa" w:w="4320"/>
          </w:tcPr>
          <w:p>
            <w:r/>
            <w:r>
              <w:rPr>
                <w:b/>
                <w:sz w:val="20"/>
              </w:rPr>
              <w:t>ROA (TTM)</w:t>
            </w:r>
          </w:p>
        </w:tc>
        <w:tc>
          <w:tcPr>
            <w:tcW w:type="dxa" w:w="4320"/>
          </w:tcPr>
          <w:p>
            <w:r/>
            <w:r>
              <w:rPr>
                <w:sz w:val="20"/>
              </w:rPr>
              <w:t>-1.33%</w:t>
            </w:r>
          </w:p>
        </w:tc>
      </w:tr>
      <w:tr>
        <w:tc>
          <w:tcPr>
            <w:tcW w:type="dxa" w:w="4320"/>
          </w:tcPr>
          <w:p>
            <w:r/>
            <w:r>
              <w:rPr>
                <w:b/>
                <w:sz w:val="20"/>
              </w:rPr>
              <w:t>毛利率 (TTM)</w:t>
            </w:r>
          </w:p>
        </w:tc>
        <w:tc>
          <w:tcPr>
            <w:tcW w:type="dxa" w:w="4320"/>
          </w:tcPr>
          <w:p>
            <w:r/>
            <w:r>
              <w:rPr>
                <w:sz w:val="20"/>
              </w:rPr>
              <w:t>12.69%</w:t>
            </w:r>
          </w:p>
        </w:tc>
      </w:tr>
      <w:tr>
        <w:tc>
          <w:tcPr>
            <w:tcW w:type="dxa" w:w="4320"/>
          </w:tcPr>
          <w:p>
            <w:r/>
            <w:r>
              <w:rPr>
                <w:b/>
                <w:sz w:val="20"/>
              </w:rPr>
              <w:t>净利率 (TTM)</w:t>
            </w:r>
          </w:p>
        </w:tc>
        <w:tc>
          <w:tcPr>
            <w:tcW w:type="dxa" w:w="4320"/>
          </w:tcPr>
          <w:p>
            <w:r/>
            <w:r>
              <w:rPr>
                <w:sz w:val="20"/>
              </w:rPr>
              <w:t>-7.64%</w:t>
            </w:r>
          </w:p>
        </w:tc>
      </w:tr>
      <w:tr>
        <w:tc>
          <w:tcPr>
            <w:tcW w:type="dxa" w:w="4320"/>
          </w:tcPr>
          <w:p>
            <w:r/>
            <w:r>
              <w:rPr>
                <w:b/>
                <w:sz w:val="20"/>
              </w:rPr>
              <w:t>负债权益比 (MRQ)</w:t>
            </w:r>
          </w:p>
        </w:tc>
        <w:tc>
          <w:tcPr>
            <w:tcW w:type="dxa" w:w="4320"/>
          </w:tcPr>
          <w:p>
            <w:r/>
            <w:r>
              <w:rPr>
                <w:sz w:val="20"/>
              </w:rPr>
              <w:t>13.7009</w:t>
            </w:r>
          </w:p>
        </w:tc>
      </w:tr>
      <w:tr>
        <w:tc>
          <w:tcPr>
            <w:tcW w:type="dxa" w:w="4320"/>
          </w:tcPr>
          <w:p>
            <w:r/>
            <w:r>
              <w:rPr>
                <w:b/>
                <w:sz w:val="20"/>
              </w:rPr>
              <w:t>经营现金流质量 (TTM)</w:t>
            </w:r>
          </w:p>
        </w:tc>
        <w:tc>
          <w:tcPr>
            <w:tcW w:type="dxa" w:w="4320"/>
          </w:tcPr>
          <w:p>
            <w:r/>
            <w:r>
              <w:rPr>
                <w:sz w:val="20"/>
              </w:rPr>
              <w:t>无数据</w:t>
            </w:r>
          </w:p>
        </w:tc>
      </w:tr>
    </w:tbl>
    <w:p/>
    <w:p>
      <w:pPr/>
      <w:r>
        <w:rPr>
          <w:b/>
          <w:color w:val="1A3C6E"/>
          <w:sz w:val="32"/>
        </w:rPr>
        <w:t>3. 估值分析</w:t>
      </w:r>
    </w:p>
    <w:p/>
    <w:tbl>
      <w:tblPr>
        <w:tblStyle w:val="LightGrid-Accent1"/>
        <w:tblW w:type="auto" w:w="0"/>
        <w:jc w:val="center"/>
        <w:tblLook w:firstColumn="1" w:firstRow="1" w:lastColumn="0" w:lastRow="0" w:noHBand="0" w:noVBand="1" w:val="04A0"/>
      </w:tblPr>
      <w:tblGrid>
        <w:gridCol w:w="4320"/>
        <w:gridCol w:w="4320"/>
      </w:tblGrid>
      <w:tr>
        <w:tc>
          <w:tcPr>
            <w:tcW w:type="dxa" w:w="4320"/>
          </w:tcPr>
          <w:p>
            <w:r/>
            <w:r>
              <w:rPr>
                <w:b/>
                <w:sz w:val="20"/>
              </w:rPr>
              <w:t>市盈率 (TTM)</w:t>
            </w:r>
          </w:p>
        </w:tc>
        <w:tc>
          <w:tcPr>
            <w:tcW w:type="dxa" w:w="4320"/>
          </w:tcPr>
          <w:p>
            <w:r/>
            <w:r>
              <w:rPr>
                <w:sz w:val="20"/>
              </w:rPr>
              <w:t>-27.23</w:t>
            </w:r>
          </w:p>
        </w:tc>
      </w:tr>
      <w:tr>
        <w:tc>
          <w:tcPr>
            <w:tcW w:type="dxa" w:w="4320"/>
          </w:tcPr>
          <w:p>
            <w:r/>
            <w:r>
              <w:rPr>
                <w:b/>
                <w:sz w:val="20"/>
              </w:rPr>
              <w:t>市净率 (MRQ)</w:t>
            </w:r>
          </w:p>
        </w:tc>
        <w:tc>
          <w:tcPr>
            <w:tcW w:type="dxa" w:w="4320"/>
          </w:tcPr>
          <w:p>
            <w:r/>
            <w:r>
              <w:rPr>
                <w:sz w:val="20"/>
              </w:rPr>
              <w:t>38.74</w:t>
            </w:r>
          </w:p>
        </w:tc>
      </w:tr>
      <w:tr>
        <w:tc>
          <w:tcPr>
            <w:tcW w:type="dxa" w:w="4320"/>
          </w:tcPr>
          <w:p>
            <w:r/>
            <w:r>
              <w:rPr>
                <w:b/>
                <w:sz w:val="20"/>
              </w:rPr>
              <w:t>EV / Revenue</w:t>
            </w:r>
          </w:p>
        </w:tc>
        <w:tc>
          <w:tcPr>
            <w:tcW w:type="dxa" w:w="4320"/>
          </w:tcPr>
          <w:p>
            <w:r/>
            <w:r>
              <w:rPr>
                <w:sz w:val="20"/>
              </w:rPr>
              <w:t>—</w:t>
            </w:r>
          </w:p>
        </w:tc>
      </w:tr>
      <w:tr>
        <w:tc>
          <w:tcPr>
            <w:tcW w:type="dxa" w:w="4320"/>
          </w:tcPr>
          <w:p>
            <w:r/>
            <w:r>
              <w:rPr>
                <w:b/>
                <w:sz w:val="20"/>
              </w:rPr>
              <w:t>EV / EBITDA</w:t>
            </w:r>
          </w:p>
        </w:tc>
        <w:tc>
          <w:tcPr>
            <w:tcW w:type="dxa" w:w="4320"/>
          </w:tcPr>
          <w:p>
            <w:r/>
            <w:r>
              <w:rPr>
                <w:sz w:val="20"/>
              </w:rPr>
              <w:t>—</w:t>
            </w:r>
          </w:p>
        </w:tc>
      </w:tr>
      <w:tr>
        <w:tc>
          <w:tcPr>
            <w:tcW w:type="dxa" w:w="4320"/>
          </w:tcPr>
          <w:p>
            <w:r/>
            <w:r>
              <w:rPr>
                <w:b/>
                <w:sz w:val="20"/>
              </w:rPr>
              <w:t>PEG比率 (TTM)</w:t>
            </w:r>
          </w:p>
        </w:tc>
        <w:tc>
          <w:tcPr>
            <w:tcW w:type="dxa" w:w="4320"/>
          </w:tcPr>
          <w:p>
            <w:r/>
            <w:r>
              <w:rPr>
                <w:sz w:val="20"/>
              </w:rPr>
              <w:t>Neg. Earnings</w:t>
            </w:r>
          </w:p>
        </w:tc>
      </w:tr>
      <w:tr>
        <w:tc>
          <w:tcPr>
            <w:tcW w:type="dxa" w:w="4320"/>
          </w:tcPr>
          <w:p>
            <w:r/>
            <w:r>
              <w:rPr>
                <w:b/>
                <w:sz w:val="20"/>
              </w:rPr>
              <w:t>PE 1年分位</w:t>
            </w:r>
          </w:p>
        </w:tc>
        <w:tc>
          <w:tcPr>
            <w:tcW w:type="dxa" w:w="4320"/>
          </w:tcPr>
          <w:p>
            <w:r/>
            <w:r>
              <w:rPr>
                <w:sz w:val="20"/>
              </w:rPr>
              <w:t>0%</w:t>
            </w:r>
          </w:p>
        </w:tc>
      </w:tr>
      <w:tr>
        <w:tc>
          <w:tcPr>
            <w:tcW w:type="dxa" w:w="4320"/>
          </w:tcPr>
          <w:p>
            <w:r/>
            <w:r>
              <w:rPr>
                <w:b/>
                <w:sz w:val="20"/>
              </w:rPr>
              <w:t>PE 3年分位</w:t>
            </w:r>
          </w:p>
        </w:tc>
        <w:tc>
          <w:tcPr>
            <w:tcW w:type="dxa" w:w="4320"/>
          </w:tcPr>
          <w:p>
            <w:r/>
            <w:r>
              <w:rPr>
                <w:sz w:val="20"/>
              </w:rPr>
              <w:t>0%</w:t>
            </w:r>
          </w:p>
        </w:tc>
      </w:tr>
      <w:tr>
        <w:tc>
          <w:tcPr>
            <w:tcW w:type="dxa" w:w="4320"/>
          </w:tcPr>
          <w:p>
            <w:r/>
            <w:r>
              <w:rPr>
                <w:b/>
                <w:sz w:val="20"/>
              </w:rPr>
              <w:t>PE 5年分位</w:t>
            </w:r>
          </w:p>
        </w:tc>
        <w:tc>
          <w:tcPr>
            <w:tcW w:type="dxa" w:w="4320"/>
          </w:tcPr>
          <w:p>
            <w:r/>
            <w:r>
              <w:rPr>
                <w:sz w:val="20"/>
              </w:rPr>
              <w:t>0%</w:t>
            </w:r>
          </w:p>
        </w:tc>
      </w:tr>
    </w:tbl>
    <w:p/>
    <w:p/>
    <w:p>
      <w:pPr>
        <w:jc w:val="center"/>
      </w:pPr>
      <w:r>
        <w:drawing>
          <wp:inline xmlns:a="http://schemas.openxmlformats.org/drawingml/2006/main" xmlns:pic="http://schemas.openxmlformats.org/drawingml/2006/picture">
            <wp:extent cx="5029200" cy="2109995"/>
            <wp:docPr id="1" name="Picture 1"/>
            <wp:cNvGraphicFramePr>
              <a:graphicFrameLocks noChangeAspect="1"/>
            </wp:cNvGraphicFramePr>
            <a:graphic>
              <a:graphicData uri="http://schemas.openxmlformats.org/drawingml/2006/picture">
                <pic:pic>
                  <pic:nvPicPr>
                    <pic:cNvPr id="0" name="002564.SZ_price.png"/>
                    <pic:cNvPicPr/>
                  </pic:nvPicPr>
                  <pic:blipFill>
                    <a:blip r:embed="rId9"/>
                    <a:stretch>
                      <a:fillRect/>
                    </a:stretch>
                  </pic:blipFill>
                  <pic:spPr>
                    <a:xfrm>
                      <a:off x="0" y="0"/>
                      <a:ext cx="5029200" cy="2109995"/>
                    </a:xfrm>
                    <a:prstGeom prst="rect"/>
                  </pic:spPr>
                </pic:pic>
              </a:graphicData>
            </a:graphic>
          </wp:inline>
        </w:drawing>
      </w:r>
    </w:p>
    <w:p>
      <w:pPr/>
      <w:r>
        <w:rPr>
          <w:b/>
          <w:color w:val="1A3C6E"/>
          <w:sz w:val="32"/>
        </w:rPr>
        <w:t>4. 市场与情绪分析</w:t>
      </w:r>
    </w:p>
    <w:p/>
    <w:tbl>
      <w:tblPr>
        <w:tblStyle w:val="LightGrid-Accent1"/>
        <w:tblW w:type="auto" w:w="0"/>
        <w:jc w:val="center"/>
        <w:tblLook w:firstColumn="1" w:firstRow="1" w:lastColumn="0" w:lastRow="0" w:noHBand="0" w:noVBand="1" w:val="04A0"/>
      </w:tblPr>
      <w:tblGrid>
        <w:gridCol w:w="4320"/>
        <w:gridCol w:w="4320"/>
      </w:tblGrid>
      <w:tr>
        <w:tc>
          <w:tcPr>
            <w:tcW w:type="dxa" w:w="4320"/>
          </w:tcPr>
          <w:p>
            <w:r/>
            <w:r>
              <w:rPr>
                <w:b/>
                <w:sz w:val="20"/>
              </w:rPr>
              <w:t>1月回报</w:t>
            </w:r>
          </w:p>
        </w:tc>
        <w:tc>
          <w:tcPr>
            <w:tcW w:type="dxa" w:w="4320"/>
          </w:tcPr>
          <w:p>
            <w:r/>
            <w:r>
              <w:rPr>
                <w:sz w:val="20"/>
              </w:rPr>
              <w:t>10.04%</w:t>
            </w:r>
          </w:p>
        </w:tc>
      </w:tr>
      <w:tr>
        <w:tc>
          <w:tcPr>
            <w:tcW w:type="dxa" w:w="4320"/>
          </w:tcPr>
          <w:p>
            <w:r/>
            <w:r>
              <w:rPr>
                <w:b/>
                <w:sz w:val="20"/>
              </w:rPr>
              <w:t>3月回报</w:t>
            </w:r>
          </w:p>
        </w:tc>
        <w:tc>
          <w:tcPr>
            <w:tcW w:type="dxa" w:w="4320"/>
          </w:tcPr>
          <w:p>
            <w:r/>
            <w:r>
              <w:rPr>
                <w:sz w:val="20"/>
              </w:rPr>
              <w:t>3.14%</w:t>
            </w:r>
          </w:p>
        </w:tc>
      </w:tr>
      <w:tr>
        <w:tc>
          <w:tcPr>
            <w:tcW w:type="dxa" w:w="4320"/>
          </w:tcPr>
          <w:p>
            <w:r/>
            <w:r>
              <w:rPr>
                <w:b/>
                <w:sz w:val="20"/>
              </w:rPr>
              <w:t>6月回报</w:t>
            </w:r>
          </w:p>
        </w:tc>
        <w:tc>
          <w:tcPr>
            <w:tcW w:type="dxa" w:w="4320"/>
          </w:tcPr>
          <w:p>
            <w:r/>
            <w:r>
              <w:rPr>
                <w:sz w:val="20"/>
              </w:rPr>
              <w:t>-30.95%</w:t>
            </w:r>
          </w:p>
        </w:tc>
      </w:tr>
      <w:tr>
        <w:tc>
          <w:tcPr>
            <w:tcW w:type="dxa" w:w="4320"/>
          </w:tcPr>
          <w:p>
            <w:r/>
            <w:r>
              <w:rPr>
                <w:b/>
                <w:sz w:val="20"/>
              </w:rPr>
              <w:t>12月回报</w:t>
            </w:r>
          </w:p>
        </w:tc>
        <w:tc>
          <w:tcPr>
            <w:tcW w:type="dxa" w:w="4320"/>
          </w:tcPr>
          <w:p>
            <w:r/>
            <w:r>
              <w:rPr>
                <w:sz w:val="20"/>
              </w:rPr>
              <w:t>-36.88%</w:t>
            </w:r>
          </w:p>
        </w:tc>
      </w:tr>
      <w:tr>
        <w:tc>
          <w:tcPr>
            <w:tcW w:type="dxa" w:w="4320"/>
          </w:tcPr>
          <w:p>
            <w:r/>
            <w:r>
              <w:rPr>
                <w:b/>
                <w:sz w:val="20"/>
              </w:rPr>
              <w:t>成交量趋势（1年对比）</w:t>
            </w:r>
          </w:p>
        </w:tc>
        <w:tc>
          <w:tcPr>
            <w:tcW w:type="dxa" w:w="4320"/>
          </w:tcPr>
          <w:p>
            <w:r/>
            <w:r>
              <w:rPr>
                <w:sz w:val="20"/>
              </w:rPr>
              <w:t>缩量 23.2%（近21日均量 vs 前21日）</w:t>
            </w:r>
          </w:p>
        </w:tc>
      </w:tr>
      <w:tr>
        <w:tc>
          <w:tcPr>
            <w:tcW w:type="dxa" w:w="4320"/>
          </w:tcPr>
          <w:p>
            <w:r/>
            <w:r>
              <w:rPr>
                <w:b/>
                <w:sz w:val="20"/>
              </w:rPr>
              <w:t>新闻舆情（30日）</w:t>
            </w:r>
          </w:p>
        </w:tc>
        <w:tc>
          <w:tcPr>
            <w:tcW w:type="dxa" w:w="4320"/>
          </w:tcPr>
          <w:p>
            <w:r/>
            <w:r>
              <w:rPr>
                <w:sz w:val="20"/>
              </w:rPr>
              <w:t>2026-09-04 首板涨停（09:50:12封板，封单资金 0.84 亿），短线关注度上升；行业（专用设备）板块联动。基于东财涨停池数据，非新闻聚合。</w:t>
            </w:r>
          </w:p>
        </w:tc>
      </w:tr>
    </w:tbl>
    <w:p/>
    <w:p/>
    <w:p>
      <w:pPr>
        <w:jc w:val="center"/>
      </w:pPr>
      <w:r>
        <w:drawing>
          <wp:inline xmlns:a="http://schemas.openxmlformats.org/drawingml/2006/main" xmlns:pic="http://schemas.openxmlformats.org/drawingml/2006/picture">
            <wp:extent cx="5029200" cy="1837738"/>
            <wp:docPr id="2" name="Picture 2"/>
            <wp:cNvGraphicFramePr>
              <a:graphicFrameLocks noChangeAspect="1"/>
            </wp:cNvGraphicFramePr>
            <a:graphic>
              <a:graphicData uri="http://schemas.openxmlformats.org/drawingml/2006/picture">
                <pic:pic>
                  <pic:nvPicPr>
                    <pic:cNvPr id="0" name="002564.SZ_monthly.png"/>
                    <pic:cNvPicPr/>
                  </pic:nvPicPr>
                  <pic:blipFill>
                    <a:blip r:embed="rId10"/>
                    <a:stretch>
                      <a:fillRect/>
                    </a:stretch>
                  </pic:blipFill>
                  <pic:spPr>
                    <a:xfrm>
                      <a:off x="0" y="0"/>
                      <a:ext cx="5029200" cy="1837738"/>
                    </a:xfrm>
                    <a:prstGeom prst="rect"/>
                  </pic:spPr>
                </pic:pic>
              </a:graphicData>
            </a:graphic>
          </wp:inline>
        </w:drawing>
      </w:r>
    </w:p>
    <w:p/>
    <w:p>
      <w:pPr>
        <w:jc w:val="center"/>
      </w:pPr>
      <w:r>
        <w:drawing>
          <wp:inline xmlns:a="http://schemas.openxmlformats.org/drawingml/2006/main" xmlns:pic="http://schemas.openxmlformats.org/drawingml/2006/picture">
            <wp:extent cx="4389120" cy="1863306"/>
            <wp:docPr id="3" name="Picture 3"/>
            <wp:cNvGraphicFramePr>
              <a:graphicFrameLocks noChangeAspect="1"/>
            </wp:cNvGraphicFramePr>
            <a:graphic>
              <a:graphicData uri="http://schemas.openxmlformats.org/drawingml/2006/picture">
                <pic:pic>
                  <pic:nvPicPr>
                    <pic:cNvPr id="0" name="002564.SZ_yearly.png"/>
                    <pic:cNvPicPr/>
                  </pic:nvPicPr>
                  <pic:blipFill>
                    <a:blip r:embed="rId11"/>
                    <a:stretch>
                      <a:fillRect/>
                    </a:stretch>
                  </pic:blipFill>
                  <pic:spPr>
                    <a:xfrm>
                      <a:off x="0" y="0"/>
                      <a:ext cx="4389120" cy="1863306"/>
                    </a:xfrm>
                    <a:prstGeom prst="rect"/>
                  </pic:spPr>
                </pic:pic>
              </a:graphicData>
            </a:graphic>
          </wp:inline>
        </w:drawing>
      </w:r>
    </w:p>
    <w:p>
      <w:pPr/>
      <w:r>
        <w:rPr>
          <w:b/>
          <w:color w:val="1A3C6E"/>
          <w:sz w:val="32"/>
        </w:rPr>
        <w:t>5. 风险评估</w:t>
      </w:r>
    </w:p>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b/>
              </w:rPr>
              <w:t>风险因素</w:t>
            </w:r>
          </w:p>
        </w:tc>
        <w:tc>
          <w:tcPr>
            <w:tcW w:type="dxa" w:w="2880"/>
          </w:tcPr>
          <w:p>
            <w:r>
              <w:rPr>
                <w:b/>
              </w:rPr>
              <w:t>级别</w:t>
            </w:r>
          </w:p>
        </w:tc>
        <w:tc>
          <w:tcPr>
            <w:tcW w:type="dxa" w:w="2880"/>
          </w:tcPr>
          <w:p>
            <w:r>
              <w:rPr>
                <w:b/>
              </w:rPr>
              <w:t>缓解因素</w:t>
            </w:r>
          </w:p>
        </w:tc>
      </w:tr>
      <w:tr>
        <w:tc>
          <w:tcPr>
            <w:tcW w:type="dxa" w:w="2880"/>
          </w:tcPr>
          <w:p>
            <w:r>
              <w:t>短线交易风险：2026-09-04 首板涨停（09:50:12封板），情绪驱动成分高</w:t>
            </w:r>
          </w:p>
        </w:tc>
        <w:tc>
          <w:tcPr>
            <w:tcW w:type="dxa" w:w="2880"/>
            <w:shd w:fill="FFCCCC" w:val="clear"/>
          </w:tcPr>
          <w:p>
            <w:r>
              <w:t>High</w:t>
            </w:r>
          </w:p>
        </w:tc>
        <w:tc>
          <w:tcPr>
            <w:tcW w:type="dxa" w:w="2880"/>
          </w:tcPr>
          <w:p>
            <w:r>
              <w:t>本报告为 6–18 个月长期视角，不建议涨停次日追高；等待情绪回落后再评估入场点</w:t>
            </w:r>
          </w:p>
        </w:tc>
      </w:tr>
      <w:tr>
        <w:tc>
          <w:tcPr>
            <w:tcW w:type="dxa" w:w="2880"/>
          </w:tcPr>
          <w:p>
            <w:r>
              <w:t>股权质押风险：质押占流通盘 15.1%（CSDC）</w:t>
            </w:r>
          </w:p>
        </w:tc>
        <w:tc>
          <w:tcPr>
            <w:tcW w:type="dxa" w:w="2880"/>
            <w:shd w:fill="FFF3CD" w:val="clear"/>
          </w:tcPr>
          <w:p>
            <w:r>
              <w:t>Medium</w:t>
            </w:r>
          </w:p>
        </w:tc>
        <w:tc>
          <w:tcPr>
            <w:tcW w:type="dxa" w:w="2880"/>
          </w:tcPr>
          <w:p>
            <w:r>
              <w:t>质押比例中等，跟踪控股股东质押动态</w:t>
            </w:r>
          </w:p>
        </w:tc>
      </w:tr>
      <w:tr>
        <w:tc>
          <w:tcPr>
            <w:tcW w:type="dxa" w:w="2880"/>
          </w:tcPr>
          <w:p>
            <w:r>
              <w:t>业绩下滑风险：最新报告期归母净利同比 -757.8%</w:t>
            </w:r>
          </w:p>
        </w:tc>
        <w:tc>
          <w:tcPr>
            <w:tcW w:type="dxa" w:w="2880"/>
            <w:shd w:fill="FFCCCC" w:val="clear"/>
          </w:tcPr>
          <w:p>
            <w:r>
              <w:t>High</w:t>
            </w:r>
          </w:p>
        </w:tc>
        <w:tc>
          <w:tcPr>
            <w:tcW w:type="dxa" w:w="2880"/>
          </w:tcPr>
          <w:p>
            <w:r>
              <w:t>以季报验证拐点；若连续两期下滑应下修评级</w:t>
            </w:r>
          </w:p>
        </w:tc>
      </w:tr>
      <w:tr>
        <w:tc>
          <w:tcPr>
            <w:tcW w:type="dxa" w:w="2880"/>
          </w:tcPr>
          <w:p>
            <w:r>
              <w:t>最新报告期归母净利为负（亏损）</w:t>
            </w:r>
          </w:p>
        </w:tc>
        <w:tc>
          <w:tcPr>
            <w:tcW w:type="dxa" w:w="2880"/>
            <w:shd w:fill="FFCCCC" w:val="clear"/>
          </w:tcPr>
          <w:p>
            <w:r>
              <w:t>High</w:t>
            </w:r>
          </w:p>
        </w:tc>
        <w:tc>
          <w:tcPr>
            <w:tcW w:type="dxa" w:w="2880"/>
          </w:tcPr>
          <w:p>
            <w:r>
              <w:t>评估扭亏路径与现金流覆盖能力</w:t>
            </w:r>
          </w:p>
        </w:tc>
      </w:tr>
    </w:tbl>
    <w:p/>
    <w:p>
      <w:pPr/>
      <w:r>
        <w:rPr>
          <w:b/>
          <w:color w:val="1A3C6E"/>
          <w:sz w:val="32"/>
        </w:rPr>
        <w:t>6. 长期投资决策</w:t>
      </w:r>
    </w:p>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2160"/>
          </w:tcPr>
          <w:p>
            <w:r/>
            <w:r>
              <w:rPr>
                <w:b/>
                <w:sz w:val="20"/>
              </w:rPr>
              <w:t>维度</w:t>
            </w:r>
          </w:p>
        </w:tc>
        <w:tc>
          <w:tcPr>
            <w:tcW w:type="dxa" w:w="2160"/>
          </w:tcPr>
          <w:p>
            <w:r/>
            <w:r>
              <w:rPr>
                <w:b/>
                <w:sz w:val="20"/>
              </w:rPr>
              <w:t>权重</w:t>
            </w:r>
          </w:p>
        </w:tc>
        <w:tc>
          <w:tcPr>
            <w:tcW w:type="dxa" w:w="2160"/>
          </w:tcPr>
          <w:p>
            <w:r/>
            <w:r>
              <w:rPr>
                <w:b/>
                <w:sz w:val="20"/>
              </w:rPr>
              <w:t>得分 (1–10)</w:t>
            </w:r>
          </w:p>
        </w:tc>
        <w:tc>
          <w:tcPr>
            <w:tcW w:type="dxa" w:w="2160"/>
          </w:tcPr>
          <w:p>
            <w:r/>
            <w:r>
              <w:rPr>
                <w:b/>
                <w:sz w:val="20"/>
              </w:rPr>
              <w:t>理由</w:t>
            </w:r>
          </w:p>
        </w:tc>
      </w:tr>
      <w:tr>
        <w:tc>
          <w:tcPr>
            <w:tcW w:type="dxa" w:w="2160"/>
          </w:tcPr>
          <w:p>
            <w:r/>
            <w:r>
              <w:rPr>
                <w:b/>
                <w:sz w:val="20"/>
              </w:rPr>
              <w:t>财务健康</w:t>
            </w:r>
          </w:p>
        </w:tc>
        <w:tc>
          <w:tcPr>
            <w:tcW w:type="dxa" w:w="2160"/>
          </w:tcPr>
          <w:p>
            <w:r/>
            <w:r>
              <w:rPr>
                <w:sz w:val="20"/>
              </w:rPr>
              <w:t>20%</w:t>
            </w:r>
          </w:p>
        </w:tc>
        <w:tc>
          <w:tcPr>
            <w:tcW w:type="dxa" w:w="2160"/>
          </w:tcPr>
          <w:p>
            <w:r/>
            <w:r>
              <w:rPr>
                <w:sz w:val="20"/>
              </w:rPr>
              <w:t>3</w:t>
            </w:r>
          </w:p>
        </w:tc>
        <w:tc>
          <w:tcPr>
            <w:tcW w:type="dxa" w:w="2160"/>
          </w:tcPr>
          <w:p>
            <w:r/>
            <w:r>
              <w:rPr>
                <w:sz w:val="20"/>
              </w:rPr>
              <w:t>负债/权益 13.70(高杠杆)。</w:t>
            </w:r>
          </w:p>
        </w:tc>
      </w:tr>
      <w:tr>
        <w:tc>
          <w:tcPr>
            <w:tcW w:type="dxa" w:w="2160"/>
          </w:tcPr>
          <w:p>
            <w:r/>
            <w:r>
              <w:rPr>
                <w:b/>
                <w:sz w:val="20"/>
              </w:rPr>
              <w:t>成长性</w:t>
            </w:r>
          </w:p>
        </w:tc>
        <w:tc>
          <w:tcPr>
            <w:tcW w:type="dxa" w:w="2160"/>
          </w:tcPr>
          <w:p>
            <w:r/>
            <w:r>
              <w:rPr>
                <w:sz w:val="20"/>
              </w:rPr>
              <w:t>20%</w:t>
            </w:r>
          </w:p>
        </w:tc>
        <w:tc>
          <w:tcPr>
            <w:tcW w:type="dxa" w:w="2160"/>
          </w:tcPr>
          <w:p>
            <w:r/>
            <w:r>
              <w:rPr>
                <w:sz w:val="20"/>
              </w:rPr>
              <w:t>2</w:t>
            </w:r>
          </w:p>
        </w:tc>
        <w:tc>
          <w:tcPr>
            <w:tcW w:type="dxa" w:w="2160"/>
          </w:tcPr>
          <w:p>
            <w:r/>
            <w:r>
              <w:rPr>
                <w:sz w:val="20"/>
              </w:rPr>
              <w:t>营收同比 -22.0%、净利同比 -757.8%（最新报告期）→ 大幅下滑。</w:t>
            </w:r>
          </w:p>
        </w:tc>
      </w:tr>
      <w:tr>
        <w:tc>
          <w:tcPr>
            <w:tcW w:type="dxa" w:w="2160"/>
          </w:tcPr>
          <w:p>
            <w:r/>
            <w:r>
              <w:rPr>
                <w:b/>
                <w:sz w:val="20"/>
              </w:rPr>
              <w:t>估值</w:t>
            </w:r>
          </w:p>
        </w:tc>
        <w:tc>
          <w:tcPr>
            <w:tcW w:type="dxa" w:w="2160"/>
          </w:tcPr>
          <w:p>
            <w:r/>
            <w:r>
              <w:rPr>
                <w:sz w:val="20"/>
              </w:rPr>
              <w:t>20%</w:t>
            </w:r>
          </w:p>
        </w:tc>
        <w:tc>
          <w:tcPr>
            <w:tcW w:type="dxa" w:w="2160"/>
          </w:tcPr>
          <w:p>
            <w:r/>
            <w:r>
              <w:rPr>
                <w:sz w:val="20"/>
              </w:rPr>
              <w:t>2</w:t>
            </w:r>
          </w:p>
        </w:tc>
        <w:tc>
          <w:tcPr>
            <w:tcW w:type="dxa" w:w="2160"/>
          </w:tcPr>
          <w:p>
            <w:r/>
            <w:r>
              <w:rPr>
                <w:sz w:val="20"/>
              </w:rPr>
              <w:t>亏损/PE 无意义；PB 5年分位 93%，估值维度偏保守。</w:t>
            </w:r>
          </w:p>
        </w:tc>
      </w:tr>
      <w:tr>
        <w:tc>
          <w:tcPr>
            <w:tcW w:type="dxa" w:w="2160"/>
          </w:tcPr>
          <w:p>
            <w:r/>
            <w:r>
              <w:rPr>
                <w:b/>
                <w:sz w:val="20"/>
              </w:rPr>
              <w:t>动量与情绪</w:t>
            </w:r>
          </w:p>
        </w:tc>
        <w:tc>
          <w:tcPr>
            <w:tcW w:type="dxa" w:w="2160"/>
          </w:tcPr>
          <w:p>
            <w:r/>
            <w:r>
              <w:rPr>
                <w:sz w:val="20"/>
              </w:rPr>
              <w:t>15%</w:t>
            </w:r>
          </w:p>
        </w:tc>
        <w:tc>
          <w:tcPr>
            <w:tcW w:type="dxa" w:w="2160"/>
          </w:tcPr>
          <w:p>
            <w:r/>
            <w:r>
              <w:rPr>
                <w:sz w:val="20"/>
              </w:rPr>
              <w:t>6</w:t>
            </w:r>
          </w:p>
        </w:tc>
        <w:tc>
          <w:tcPr>
            <w:tcW w:type="dxa" w:w="2160"/>
          </w:tcPr>
          <w:p>
            <w:r/>
            <w:r>
              <w:rPr>
                <w:sz w:val="20"/>
              </w:rPr>
              <w:t>12月下跌 -37%。</w:t>
            </w:r>
          </w:p>
        </w:tc>
      </w:tr>
      <w:tr>
        <w:tc>
          <w:tcPr>
            <w:tcW w:type="dxa" w:w="2160"/>
          </w:tcPr>
          <w:p>
            <w:r/>
            <w:r>
              <w:rPr>
                <w:b/>
                <w:sz w:val="20"/>
              </w:rPr>
              <w:t>行业地位</w:t>
            </w:r>
          </w:p>
        </w:tc>
        <w:tc>
          <w:tcPr>
            <w:tcW w:type="dxa" w:w="2160"/>
          </w:tcPr>
          <w:p>
            <w:r/>
            <w:r>
              <w:rPr>
                <w:sz w:val="20"/>
              </w:rPr>
              <w:t>10%</w:t>
            </w:r>
          </w:p>
        </w:tc>
        <w:tc>
          <w:tcPr>
            <w:tcW w:type="dxa" w:w="2160"/>
          </w:tcPr>
          <w:p>
            <w:r/>
            <w:r>
              <w:rPr>
                <w:sz w:val="20"/>
              </w:rPr>
              <w:t>6</w:t>
            </w:r>
          </w:p>
        </w:tc>
        <w:tc>
          <w:tcPr>
            <w:tcW w:type="dxa" w:w="2160"/>
          </w:tcPr>
          <w:p>
            <w:r/>
            <w:r>
              <w:rPr>
                <w:sz w:val="20"/>
              </w:rPr>
              <w:t>总市值 42 亿（中型）。</w:t>
            </w:r>
          </w:p>
        </w:tc>
      </w:tr>
      <w:tr>
        <w:tc>
          <w:tcPr>
            <w:tcW w:type="dxa" w:w="2160"/>
          </w:tcPr>
          <w:p>
            <w:r/>
            <w:r>
              <w:rPr>
                <w:b/>
                <w:sz w:val="20"/>
              </w:rPr>
              <w:t>风险状况</w:t>
            </w:r>
          </w:p>
        </w:tc>
        <w:tc>
          <w:tcPr>
            <w:tcW w:type="dxa" w:w="2160"/>
          </w:tcPr>
          <w:p>
            <w:r/>
            <w:r>
              <w:rPr>
                <w:sz w:val="20"/>
              </w:rPr>
              <w:t>15%</w:t>
            </w:r>
          </w:p>
        </w:tc>
        <w:tc>
          <w:tcPr>
            <w:tcW w:type="dxa" w:w="2160"/>
          </w:tcPr>
          <w:p>
            <w:r/>
            <w:r>
              <w:rPr>
                <w:sz w:val="20"/>
              </w:rPr>
              <w:t>2</w:t>
            </w:r>
          </w:p>
        </w:tc>
        <w:tc>
          <w:tcPr>
            <w:tcW w:type="dxa" w:w="2160"/>
          </w:tcPr>
          <w:p>
            <w:r/>
            <w:r>
              <w:rPr>
                <w:sz w:val="20"/>
              </w:rPr>
              <w:t>4 项风险（High×3/Medium×1/Low×0），扣减 3.5。</w:t>
            </w:r>
          </w:p>
        </w:tc>
      </w:tr>
      <w:tr>
        <w:tc>
          <w:tcPr>
            <w:tcW w:type="dxa" w:w="2160"/>
          </w:tcPr>
          <w:p>
            <w:r/>
            <w:r>
              <w:rPr>
                <w:b/>
                <w:sz w:val="20"/>
              </w:rPr>
              <w:t>总计</w:t>
            </w:r>
          </w:p>
        </w:tc>
        <w:tc>
          <w:tcPr>
            <w:tcW w:type="dxa" w:w="2160"/>
          </w:tcPr>
          <w:p>
            <w:r/>
            <w:r>
              <w:rPr>
                <w:b/>
                <w:sz w:val="20"/>
              </w:rPr>
              <w:t>100%</w:t>
            </w:r>
          </w:p>
        </w:tc>
        <w:tc>
          <w:tcPr>
            <w:tcW w:type="dxa" w:w="2160"/>
          </w:tcPr>
          <w:p>
            <w:r/>
            <w:r>
              <w:rPr>
                <w:b/>
                <w:sz w:val="20"/>
              </w:rPr>
              <w:t>3.05</w:t>
            </w:r>
          </w:p>
        </w:tc>
        <w:tc>
          <w:tcPr>
            <w:tcW w:type="dxa" w:w="2160"/>
          </w:tcPr>
          <w:p>
            <w:r/>
            <w:r>
              <w:rPr>
                <w:b/>
                <w:sz w:val="20"/>
              </w:rPr>
              <w:t>→ SELL</w:t>
            </w:r>
          </w:p>
        </w:tc>
      </w:tr>
    </w:tbl>
    <w:p/>
    <w:p/>
    <w:p>
      <w:pPr>
        <w:jc w:val="center"/>
      </w:pPr>
      <w:r>
        <w:rPr>
          <w:b/>
          <w:color w:val="CC0000"/>
          <w:sz w:val="56"/>
        </w:rPr>
        <w:t xml:space="preserve">  SELL  </w:t>
      </w:r>
    </w:p>
    <w:p>
      <w:pPr>
        <w:jc w:val="center"/>
      </w:pPr>
      <w:r>
        <w:rPr>
          <w:b/>
          <w:color w:val="333333"/>
          <w:sz w:val="28"/>
        </w:rPr>
        <w:t>长期投资决策（6–18个月）</w:t>
      </w:r>
    </w:p>
    <w:p>
      <w:pPr>
        <w:jc w:val="center"/>
      </w:pPr>
      <w:r>
        <w:rPr>
          <w:color w:val="333333"/>
          <w:sz w:val="24"/>
        </w:rPr>
        <w:t>置信度: 70%</w:t>
      </w:r>
    </w:p>
    <w:p/>
    <w:p>
      <w:pPr/>
      <w:r>
        <w:rPr>
          <w:color w:val="333333"/>
          <w:sz w:val="22"/>
        </w:rPr>
        <w:t>长期（6–18个月）视角：天沃科技（002564.SZ）综合加权得分 3.05/10 → SELL。财务：负债/权益 13.70(高杠杆)。 成长：营收同比 -22.0%、净利同比 -757.8%（最新报告期）→ 大幅下滑。 估值：亏损/PE 无意义；PB 5年分位 93%，估值维度偏保守。 动量：12月下跌 -37%。 行业地位：总市值 42 亿（中型）。 风险：4 项风险（High×3/Medium×1/Low×0），扣减 3.5。置信度 70%。首板涨停属短线事件，本报告仅给出长期视角参考，不构成短线交易信号。</w:t>
      </w:r>
    </w:p>
    <w:p>
      <w:r>
        <w:br w:type="page"/>
      </w:r>
    </w:p>
    <w:p>
      <w:pPr/>
      <w:r>
        <w:rPr>
          <w:b/>
          <w:color w:val="1A3C6E"/>
          <w:sz w:val="32"/>
        </w:rPr>
        <w:t>8. 数据来源与参考文献</w:t>
      </w:r>
    </w:p>
    <w:p/>
    <w:p>
      <w:pPr/>
      <w:r>
        <w:rPr>
          <w:color w:val="333333"/>
          <w:sz w:val="18"/>
        </w:rPr>
        <w:t>1. Financial data: 东财 datacenter RPT_F10_FINANCE_MAINFINADATA（季度累计，北交所覆盖）</w:t>
      </w:r>
    </w:p>
    <w:p>
      <w:pPr/>
      <w:r>
        <w:rPr>
          <w:color w:val="333333"/>
          <w:sz w:val="18"/>
        </w:rPr>
        <w:t>2. Price data: 新浪财经日K线 CN_MarketDataService.getKLineData（symbol=sz002564，1600日）</w:t>
      </w:r>
    </w:p>
    <w:p>
      <w:pPr/>
      <w:r>
        <w:rPr>
          <w:color w:val="333333"/>
          <w:sz w:val="18"/>
        </w:rPr>
        <w:t>3. News &amp; sentiment: 东财涨停池（push2ex，2026-09-04）——事实性事件描述，非新闻聚合</w:t>
      </w:r>
    </w:p>
    <w:p>
      <w:pPr/>
      <w:r>
        <w:rPr>
          <w:color w:val="333333"/>
          <w:sz w:val="18"/>
        </w:rPr>
        <w:t>4. Analyst ratings: 无免费源（未披露，未纳入评分）</w:t>
      </w:r>
    </w:p>
    <w:p>
      <w:pPr/>
      <w:r>
        <w:rPr>
          <w:color w:val="333333"/>
          <w:sz w:val="18"/>
        </w:rPr>
        <w:t>5. Industry research: 申万一级行业中位PE（抽样≤30，腾讯批量PE）</w:t>
      </w:r>
    </w:p>
    <w:p>
      <w:pPr/>
      <w:r>
        <w:rPr>
          <w:color w:val="333333"/>
          <w:sz w:val="18"/>
        </w:rPr>
        <w:t>6. Risk factors: CSDC 质押数据（shim get_stock_pledge）+ 东财涨停池 push2ex getTopicZTPool（2026-09-04）</w:t>
      </w:r>
    </w:p>
    <w:p>
      <w:pPr/>
      <w:r>
        <w:rPr>
          <w:color w:val="333333"/>
          <w:sz w:val="18"/>
        </w:rPr>
        <w:t>7. Company info: 东财 F10 CompanySurvey PageAjax（ORG_PROFILE/ADDRESS）</w:t>
      </w:r>
    </w:p>
    <w:p/>
    <w:p>
      <w:pPr/>
      <w:r>
        <w:rPr>
          <w:color w:val="999999"/>
          <w:sz w:val="16"/>
        </w:rPr>
        <w:t>Report generated: 2026-09-04</w:t>
      </w:r>
    </w:p>
    <w:p>
      <w:pPr/>
      <w:r>
        <w:rPr>
          <w:color w:val="999999"/>
          <w:sz w:val="16"/>
        </w:rPr>
        <w:t>本报告由AI生成，仅供研究参考，不构成投资建议。</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