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海欣食品</w:t>
      </w:r>
    </w:p>
    <w:p>
      <w:pPr>
        <w:jc w:val="center"/>
      </w:pPr>
      <w:r>
        <w:rPr>
          <w:color w:val="333333"/>
          <w:sz w:val="28"/>
        </w:rPr>
        <w:t>002702.SZ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海欣食品股份有限公司是一家具有百年历史传承的国家农业产业化重点龙头企业。近年来,公司逐步形成了以速冻鱼糜制品系列产品为核心,兼顾速冻肉制品等其他速冻食品的整体业务体系,并完善了鱼糜及鱼糜制品深加工和销售的产业格局。公司于2012年10月成功在深圳证券交易所挂牌上市,证券简称:海欣食品,证券代码:002702。公司“海欣”品牌创立于1903年,是业内享有声誉的百年历史传承的老字号,曾荣获“中国名牌产品”称号,被世界品牌实验室评选为“2018年中国500最具价值品牌”、“2018年亚洲品牌500强”、“2019年亚洲品牌500强”。近十年来,公司致力于用现代科技改造传统海产品加工业,将先进的食品工程技术、生物技术应用于海洋水产品的精深和高值化加工方面并取得突出成绩,拥有多项自主创新的发明专利技术。公司技术中心被认定为“国家鱼糜制品加工技术研发分中心”,与中科院海洋研究所共建“海洋功能食品联合实验室”。公司发起并参与了行业标准《肉丸》(SB/T10610-2011)的制定。近年来公司先后获得“农业产业化国家重点龙头企业”、“高新技术企业”、“全国农产品加工业示范企业”等荣誉称号。目前,公司在福州金山、福州马尾、福州连江、浙江舟山、漳州东山、浙江嘉兴、江苏江阴和山东济南设有八个生产基地,完成了从原料鱼采购加工到鱼糜制品研发制造的产业链搭建,建立了以ISO9001质量管理体系认证、HACCP食品安全管理体系为基础的生产自动化、工艺标准化、品质控制规范化的制度化控制流程,实现了从采购、生产到销售全程密集的质量检验与控制,确保产品在每个环节都能符合食品安全卫生的严格要求。公司因此荣获“福州市产品质量奖”、“福建省质量管理先进企业”和“中国食品行业质量放心品牌”等荣誉称号。在销售方面,公司在北京、沈阳、上海、广州、南京、武汉、成都等地设立了七家销售子公司,通过7个营销大区构建,形成了覆盖全国的销售网络。公司在与家乐福、麦德龙、沃尔玛等多家大型超市建立供货合作关系外,还与全国各地500多家农贸分销商建立长期合作关系;全国销售渠道建设总网点数超过17,000家。未来发展中,公司将继续在“创造健康美食,倡导优质生活”的经营理念和“精益求精”的企业文化指引下,依托国家海洋经济发展规划政策纲要,立足海洋经济带产业优势,围绕海洋精深制品产业,以引领行业发展为己任,树立中国鱼肉制品第一品牌,做强做大海欣海洋事业!</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海欣食品</w:t>
            </w:r>
          </w:p>
        </w:tc>
      </w:tr>
      <w:tr>
        <w:tc>
          <w:tcPr>
            <w:tcW w:type="dxa" w:w="4320"/>
          </w:tcPr>
          <w:p>
            <w:r/>
            <w:r>
              <w:rPr>
                <w:b/>
                <w:sz w:val="20"/>
              </w:rPr>
              <w:t>股票代码</w:t>
            </w:r>
          </w:p>
        </w:tc>
        <w:tc>
          <w:tcPr>
            <w:tcW w:type="dxa" w:w="4320"/>
          </w:tcPr>
          <w:p>
            <w:r/>
            <w:r>
              <w:rPr>
                <w:sz w:val="20"/>
              </w:rPr>
              <w:t>002702.SZ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食品加工</w:t>
            </w:r>
          </w:p>
        </w:tc>
      </w:tr>
      <w:tr>
        <w:tc>
          <w:tcPr>
            <w:tcW w:type="dxa" w:w="4320"/>
          </w:tcPr>
          <w:p>
            <w:r/>
            <w:r>
              <w:rPr>
                <w:b/>
                <w:sz w:val="20"/>
              </w:rPr>
              <w:t>上市日期</w:t>
            </w:r>
          </w:p>
        </w:tc>
        <w:tc>
          <w:tcPr>
            <w:tcW w:type="dxa" w:w="4320"/>
          </w:tcPr>
          <w:p>
            <w:r/>
            <w:r>
              <w:rPr>
                <w:sz w:val="20"/>
              </w:rPr>
              <w:t>≈2007（最早报告期 2007-12-31 推断，无免费直接源）</w:t>
            </w:r>
          </w:p>
        </w:tc>
      </w:tr>
      <w:tr>
        <w:tc>
          <w:tcPr>
            <w:tcW w:type="dxa" w:w="4320"/>
          </w:tcPr>
          <w:p>
            <w:r/>
            <w:r>
              <w:rPr>
                <w:b/>
                <w:sz w:val="20"/>
              </w:rPr>
              <w:t>总部所在地</w:t>
            </w:r>
          </w:p>
        </w:tc>
        <w:tc>
          <w:tcPr>
            <w:tcW w:type="dxa" w:w="4320"/>
          </w:tcPr>
          <w:p>
            <w:r/>
            <w:r>
              <w:rPr>
                <w:sz w:val="20"/>
              </w:rPr>
              <w:t>福建 福建省福州市仓山区建新镇建新北路150号1#楼</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+23.3%（报告期 2026-06-30）</w:t>
            </w:r>
          </w:p>
        </w:tc>
      </w:tr>
      <w:tr>
        <w:tc>
          <w:tcPr>
            <w:tcW w:type="dxa" w:w="4320"/>
          </w:tcPr>
          <w:p>
            <w:r/>
            <w:r>
              <w:rPr>
                <w:b/>
                <w:sz w:val="20"/>
              </w:rPr>
              <w:t>净利润趋势（同比）</w:t>
            </w:r>
          </w:p>
        </w:tc>
        <w:tc>
          <w:tcPr>
            <w:tcW w:type="dxa" w:w="4320"/>
          </w:tcPr>
          <w:p>
            <w:r/>
            <w:r>
              <w:rPr>
                <w:sz w:val="20"/>
              </w:rPr>
              <w:t>同比 +27.6%（报告期 2026-06-30）</w:t>
            </w:r>
          </w:p>
        </w:tc>
      </w:tr>
      <w:tr>
        <w:tc>
          <w:tcPr>
            <w:tcW w:type="dxa" w:w="4320"/>
          </w:tcPr>
          <w:p>
            <w:r/>
            <w:r>
              <w:rPr>
                <w:b/>
                <w:sz w:val="20"/>
              </w:rPr>
              <w:t>ROE (TTM)</w:t>
            </w:r>
          </w:p>
        </w:tc>
        <w:tc>
          <w:tcPr>
            <w:tcW w:type="dxa" w:w="4320"/>
          </w:tcPr>
          <w:p>
            <w:r/>
            <w:r>
              <w:rPr>
                <w:sz w:val="20"/>
              </w:rPr>
              <w:t>-1.44%</w:t>
            </w:r>
          </w:p>
        </w:tc>
      </w:tr>
      <w:tr>
        <w:tc>
          <w:tcPr>
            <w:tcW w:type="dxa" w:w="4320"/>
          </w:tcPr>
          <w:p>
            <w:r/>
            <w:r>
              <w:rPr>
                <w:b/>
                <w:sz w:val="20"/>
              </w:rPr>
              <w:t>ROA (TTM)</w:t>
            </w:r>
          </w:p>
        </w:tc>
        <w:tc>
          <w:tcPr>
            <w:tcW w:type="dxa" w:w="4320"/>
          </w:tcPr>
          <w:p>
            <w:r/>
            <w:r>
              <w:rPr>
                <w:sz w:val="20"/>
              </w:rPr>
              <w:t>-0.80%</w:t>
            </w:r>
          </w:p>
        </w:tc>
      </w:tr>
      <w:tr>
        <w:tc>
          <w:tcPr>
            <w:tcW w:type="dxa" w:w="4320"/>
          </w:tcPr>
          <w:p>
            <w:r/>
            <w:r>
              <w:rPr>
                <w:b/>
                <w:sz w:val="20"/>
              </w:rPr>
              <w:t>毛利率 (TTM)</w:t>
            </w:r>
          </w:p>
        </w:tc>
        <w:tc>
          <w:tcPr>
            <w:tcW w:type="dxa" w:w="4320"/>
          </w:tcPr>
          <w:p>
            <w:r/>
            <w:r>
              <w:rPr>
                <w:sz w:val="20"/>
              </w:rPr>
              <w:t>19.95%</w:t>
            </w:r>
          </w:p>
        </w:tc>
      </w:tr>
      <w:tr>
        <w:tc>
          <w:tcPr>
            <w:tcW w:type="dxa" w:w="4320"/>
          </w:tcPr>
          <w:p>
            <w:r/>
            <w:r>
              <w:rPr>
                <w:b/>
                <w:sz w:val="20"/>
              </w:rPr>
              <w:t>净利率 (TTM)</w:t>
            </w:r>
          </w:p>
        </w:tc>
        <w:tc>
          <w:tcPr>
            <w:tcW w:type="dxa" w:w="4320"/>
          </w:tcPr>
          <w:p>
            <w:r/>
            <w:r>
              <w:rPr>
                <w:sz w:val="20"/>
              </w:rPr>
              <w:t>-1.96%</w:t>
            </w:r>
          </w:p>
        </w:tc>
      </w:tr>
      <w:tr>
        <w:tc>
          <w:tcPr>
            <w:tcW w:type="dxa" w:w="4320"/>
          </w:tcPr>
          <w:p>
            <w:r/>
            <w:r>
              <w:rPr>
                <w:b/>
                <w:sz w:val="20"/>
              </w:rPr>
              <w:t>负债权益比 (MRQ)</w:t>
            </w:r>
          </w:p>
        </w:tc>
        <w:tc>
          <w:tcPr>
            <w:tcW w:type="dxa" w:w="4320"/>
          </w:tcPr>
          <w:p>
            <w:r/>
            <w:r>
              <w:rPr>
                <w:sz w:val="20"/>
              </w:rPr>
              <w:t>0.6716</w:t>
            </w:r>
          </w:p>
        </w:tc>
      </w:tr>
      <w:tr>
        <w:tc>
          <w:tcPr>
            <w:tcW w:type="dxa" w:w="4320"/>
          </w:tcPr>
          <w:p>
            <w:r/>
            <w:r>
              <w:rPr>
                <w:b/>
                <w:sz w:val="20"/>
              </w:rPr>
              <w:t>经营现金流质量 (TTM)</w:t>
            </w:r>
          </w:p>
        </w:tc>
        <w:tc>
          <w:tcPr>
            <w:tcW w:type="dxa" w:w="4320"/>
          </w:tcPr>
          <w:p>
            <w:r/>
            <w:r>
              <w:rPr>
                <w:sz w:val="20"/>
              </w:rPr>
              <w:t>无数据</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-106.05</w:t>
            </w:r>
          </w:p>
        </w:tc>
      </w:tr>
      <w:tr>
        <w:tc>
          <w:tcPr>
            <w:tcW w:type="dxa" w:w="4320"/>
          </w:tcPr>
          <w:p>
            <w:r/>
            <w:r>
              <w:rPr>
                <w:b/>
                <w:sz w:val="20"/>
              </w:rPr>
              <w:t>市净率 (MRQ)</w:t>
            </w:r>
          </w:p>
        </w:tc>
        <w:tc>
          <w:tcPr>
            <w:tcW w:type="dxa" w:w="4320"/>
          </w:tcPr>
          <w:p>
            <w:r/>
            <w:r>
              <w:rPr>
                <w:sz w:val="20"/>
              </w:rPr>
              <w:t>3.09</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w:t>
            </w:r>
          </w:p>
        </w:tc>
      </w:tr>
      <w:tr>
        <w:tc>
          <w:tcPr>
            <w:tcW w:type="dxa" w:w="4320"/>
          </w:tcPr>
          <w:p>
            <w:r/>
            <w:r>
              <w:rPr>
                <w:b/>
                <w:sz w:val="20"/>
              </w:rPr>
              <w:t>PE 3年分位</w:t>
            </w:r>
          </w:p>
        </w:tc>
        <w:tc>
          <w:tcPr>
            <w:tcW w:type="dxa" w:w="4320"/>
          </w:tcPr>
          <w:p>
            <w:r/>
            <w:r>
              <w:rPr>
                <w:sz w:val="20"/>
              </w:rPr>
              <w:t>0%</w:t>
            </w:r>
          </w:p>
        </w:tc>
      </w:tr>
      <w:tr>
        <w:tc>
          <w:tcPr>
            <w:tcW w:type="dxa" w:w="4320"/>
          </w:tcPr>
          <w:p>
            <w:r/>
            <w:r>
              <w:rPr>
                <w:b/>
                <w:sz w:val="20"/>
              </w:rPr>
              <w:t>PE 5年分位</w:t>
            </w:r>
          </w:p>
        </w:tc>
        <w:tc>
          <w:tcPr>
            <w:tcW w:type="dxa" w:w="4320"/>
          </w:tcPr>
          <w:p>
            <w:r/>
            <w:r>
              <w:rPr>
                <w:sz w:val="20"/>
              </w:rPr>
              <w:t>0%</w:t>
            </w:r>
          </w:p>
        </w:tc>
      </w:tr>
    </w:tbl>
    <w:p/>
    <w:p/>
    <w:p>
      <w:pPr>
        <w:jc w:val="center"/>
      </w:pPr>
      <w:r>
        <w:drawing>
          <wp:inline xmlns:a="http://schemas.openxmlformats.org/drawingml/2006/main" xmlns:pic="http://schemas.openxmlformats.org/drawingml/2006/picture">
            <wp:extent cx="5029200" cy="2122764"/>
            <wp:docPr id="1" name="Picture 1"/>
            <wp:cNvGraphicFramePr>
              <a:graphicFrameLocks noChangeAspect="1"/>
            </wp:cNvGraphicFramePr>
            <a:graphic>
              <a:graphicData uri="http://schemas.openxmlformats.org/drawingml/2006/picture">
                <pic:pic>
                  <pic:nvPicPr>
                    <pic:cNvPr id="0" name="002702.SZ_price.png"/>
                    <pic:cNvPicPr/>
                  </pic:nvPicPr>
                  <pic:blipFill>
                    <a:blip r:embed="rId9"/>
                    <a:stretch>
                      <a:fillRect/>
                    </a:stretch>
                  </pic:blipFill>
                  <pic:spPr>
                    <a:xfrm>
                      <a:off x="0" y="0"/>
                      <a:ext cx="5029200" cy="2122764"/>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17.86%</w:t>
            </w:r>
          </w:p>
        </w:tc>
      </w:tr>
      <w:tr>
        <w:tc>
          <w:tcPr>
            <w:tcW w:type="dxa" w:w="4320"/>
          </w:tcPr>
          <w:p>
            <w:r/>
            <w:r>
              <w:rPr>
                <w:b/>
                <w:sz w:val="20"/>
              </w:rPr>
              <w:t>3月回报</w:t>
            </w:r>
          </w:p>
        </w:tc>
        <w:tc>
          <w:tcPr>
            <w:tcW w:type="dxa" w:w="4320"/>
          </w:tcPr>
          <w:p>
            <w:r/>
            <w:r>
              <w:rPr>
                <w:sz w:val="20"/>
              </w:rPr>
              <w:t>10.65%</w:t>
            </w:r>
          </w:p>
        </w:tc>
      </w:tr>
      <w:tr>
        <w:tc>
          <w:tcPr>
            <w:tcW w:type="dxa" w:w="4320"/>
          </w:tcPr>
          <w:p>
            <w:r/>
            <w:r>
              <w:rPr>
                <w:b/>
                <w:sz w:val="20"/>
              </w:rPr>
              <w:t>6月回报</w:t>
            </w:r>
          </w:p>
        </w:tc>
        <w:tc>
          <w:tcPr>
            <w:tcW w:type="dxa" w:w="4320"/>
          </w:tcPr>
          <w:p>
            <w:r/>
            <w:r>
              <w:rPr>
                <w:sz w:val="20"/>
              </w:rPr>
              <w:t>-8.18%</w:t>
            </w:r>
          </w:p>
        </w:tc>
      </w:tr>
      <w:tr>
        <w:tc>
          <w:tcPr>
            <w:tcW w:type="dxa" w:w="4320"/>
          </w:tcPr>
          <w:p>
            <w:r/>
            <w:r>
              <w:rPr>
                <w:b/>
                <w:sz w:val="20"/>
              </w:rPr>
              <w:t>12月回报</w:t>
            </w:r>
          </w:p>
        </w:tc>
        <w:tc>
          <w:tcPr>
            <w:tcW w:type="dxa" w:w="4320"/>
          </w:tcPr>
          <w:p>
            <w:r/>
            <w:r>
              <w:rPr>
                <w:sz w:val="20"/>
              </w:rPr>
              <w:t>25.22%</w:t>
            </w:r>
          </w:p>
        </w:tc>
      </w:tr>
      <w:tr>
        <w:tc>
          <w:tcPr>
            <w:tcW w:type="dxa" w:w="4320"/>
          </w:tcPr>
          <w:p>
            <w:r/>
            <w:r>
              <w:rPr>
                <w:b/>
                <w:sz w:val="20"/>
              </w:rPr>
              <w:t>成交量趋势（1年对比）</w:t>
            </w:r>
          </w:p>
        </w:tc>
        <w:tc>
          <w:tcPr>
            <w:tcW w:type="dxa" w:w="4320"/>
          </w:tcPr>
          <w:p>
            <w:r/>
            <w:r>
              <w:rPr>
                <w:sz w:val="20"/>
              </w:rPr>
              <w:t>缩量 10.7%（近21日均量 vs 前21日）</w:t>
            </w:r>
          </w:p>
        </w:tc>
      </w:tr>
      <w:tr>
        <w:tc>
          <w:tcPr>
            <w:tcW w:type="dxa" w:w="4320"/>
          </w:tcPr>
          <w:p>
            <w:r/>
            <w:r>
              <w:rPr>
                <w:b/>
                <w:sz w:val="20"/>
              </w:rPr>
              <w:t>新闻舆情（30日）</w:t>
            </w:r>
          </w:p>
        </w:tc>
        <w:tc>
          <w:tcPr>
            <w:tcW w:type="dxa" w:w="4320"/>
          </w:tcPr>
          <w:p>
            <w:r/>
            <w:r>
              <w:rPr>
                <w:sz w:val="20"/>
              </w:rPr>
              <w:t>2026-09-04 首板涨停（10:42:27封板，封单资金 0.69 亿），短线关注度上升；行业（食品加工）板块联动。基于东财涨停池数据，非新闻聚合。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002702.SZ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002702.SZ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首板涨停（10:42:27封板），情绪驱动成分高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股权质押风险：质押占流通盘 5.5%（CSDC）</w:t>
            </w:r>
          </w:p>
        </w:tc>
        <w:tc>
          <w:tcPr>
            <w:tcW w:type="dxa" w:w="2880"/>
            <w:shd w:fill="FFF3CD" w:val="clear"/>
          </w:tcPr>
          <w:p>
            <w:r>
              <w:t>Medium</w:t>
            </w:r>
          </w:p>
        </w:tc>
        <w:tc>
          <w:tcPr>
            <w:tcW w:type="dxa" w:w="2880"/>
          </w:tcPr>
          <w:p>
            <w:r>
              <w:t>质押比例中等，跟踪控股股东质押动态</w:t>
            </w:r>
          </w:p>
        </w:tc>
      </w:tr>
      <w:tr>
        <w:tc>
          <w:tcPr>
            <w:tcW w:type="dxa" w:w="2880"/>
          </w:tcPr>
          <w:p>
            <w:r>
              <w:t>最新报告期归母净利为负（亏损）</w:t>
            </w:r>
          </w:p>
        </w:tc>
        <w:tc>
          <w:tcPr>
            <w:tcW w:type="dxa" w:w="2880"/>
            <w:shd w:fill="FFCCCC" w:val="clear"/>
          </w:tcPr>
          <w:p>
            <w:r>
              <w:t>High</w:t>
            </w:r>
          </w:p>
        </w:tc>
        <w:tc>
          <w:tcPr>
            <w:tcW w:type="dxa" w:w="2880"/>
          </w:tcPr>
          <w:p>
            <w:r>
              <w:t>评估扭亏路径与现金流覆盖能力</w:t>
            </w:r>
          </w:p>
        </w:tc>
      </w:tr>
      <w:tr>
        <w:tc>
          <w:tcPr>
            <w:tcW w:type="dxa" w:w="2880"/>
          </w:tcPr>
          <w:p>
            <w:r>
              <w:t>流动性风险：流通市值仅 25.7 亿，波动放大</w:t>
            </w:r>
          </w:p>
        </w:tc>
        <w:tc>
          <w:tcPr>
            <w:tcW w:type="dxa" w:w="2880"/>
            <w:shd w:fill="FFF3CD" w:val="clear"/>
          </w:tcPr>
          <w:p>
            <w:r>
              <w:t>Medium</w:t>
            </w:r>
          </w:p>
        </w:tc>
        <w:tc>
          <w:tcPr>
            <w:tcW w:type="dxa" w:w="2880"/>
          </w:tcPr>
          <w:p>
            <w:r>
              <w:t>小流通盘对资金敏感，控制仓位</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4</w:t>
            </w:r>
          </w:p>
        </w:tc>
        <w:tc>
          <w:tcPr>
            <w:tcW w:type="dxa" w:w="2160"/>
          </w:tcPr>
          <w:p>
            <w:r/>
            <w:r>
              <w:rPr>
                <w:sz w:val="20"/>
              </w:rPr>
              <w:t>财务指标中性。</w:t>
            </w:r>
          </w:p>
        </w:tc>
      </w:tr>
      <w:tr>
        <w:tc>
          <w:tcPr>
            <w:tcW w:type="dxa" w:w="2160"/>
          </w:tcPr>
          <w:p>
            <w:r/>
            <w:r>
              <w:rPr>
                <w:b/>
                <w:sz w:val="20"/>
              </w:rPr>
              <w:t>成长性</w:t>
            </w:r>
          </w:p>
        </w:tc>
        <w:tc>
          <w:tcPr>
            <w:tcW w:type="dxa" w:w="2160"/>
          </w:tcPr>
          <w:p>
            <w:r/>
            <w:r>
              <w:rPr>
                <w:sz w:val="20"/>
              </w:rPr>
              <w:t>20%</w:t>
            </w:r>
          </w:p>
        </w:tc>
        <w:tc>
          <w:tcPr>
            <w:tcW w:type="dxa" w:w="2160"/>
          </w:tcPr>
          <w:p>
            <w:r/>
            <w:r>
              <w:rPr>
                <w:sz w:val="20"/>
              </w:rPr>
              <w:t>9</w:t>
            </w:r>
          </w:p>
        </w:tc>
        <w:tc>
          <w:tcPr>
            <w:tcW w:type="dxa" w:w="2160"/>
          </w:tcPr>
          <w:p>
            <w:r/>
            <w:r>
              <w:rPr>
                <w:sz w:val="20"/>
              </w:rPr>
              <w:t>营收同比 +23.3%、净利同比 +27.6%（最新报告期）→ 双高增长。</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亏损/PE 无意义；PB 5年分位 42%，估值维度偏保守。</w:t>
            </w:r>
          </w:p>
        </w:tc>
      </w:tr>
      <w:tr>
        <w:tc>
          <w:tcPr>
            <w:tcW w:type="dxa" w:w="2160"/>
          </w:tcPr>
          <w:p>
            <w:r/>
            <w:r>
              <w:rPr>
                <w:b/>
                <w:sz w:val="20"/>
              </w:rPr>
              <w:t>动量与情绪</w:t>
            </w:r>
          </w:p>
        </w:tc>
        <w:tc>
          <w:tcPr>
            <w:tcW w:type="dxa" w:w="2160"/>
          </w:tcPr>
          <w:p>
            <w:r/>
            <w:r>
              <w:rPr>
                <w:sz w:val="20"/>
              </w:rPr>
              <w:t>15%</w:t>
            </w:r>
          </w:p>
        </w:tc>
        <w:tc>
          <w:tcPr>
            <w:tcW w:type="dxa" w:w="2160"/>
          </w:tcPr>
          <w:p>
            <w:r/>
            <w:r>
              <w:rPr>
                <w:sz w:val="20"/>
              </w:rPr>
              <w:t>7</w:t>
            </w:r>
          </w:p>
        </w:tc>
        <w:tc>
          <w:tcPr>
            <w:tcW w:type="dxa" w:w="2160"/>
          </w:tcPr>
          <w:p>
            <w:r/>
            <w:r>
              <w:rPr>
                <w:sz w:val="20"/>
              </w:rPr>
              <w:t>12月温和上行 25%。</w:t>
            </w:r>
          </w:p>
        </w:tc>
      </w:tr>
      <w:tr>
        <w:tc>
          <w:tcPr>
            <w:tcW w:type="dxa" w:w="2160"/>
          </w:tcPr>
          <w:p>
            <w:r/>
            <w:r>
              <w:rPr>
                <w:b/>
                <w:sz w:val="20"/>
              </w:rPr>
              <w:t>行业地位</w:t>
            </w:r>
          </w:p>
        </w:tc>
        <w:tc>
          <w:tcPr>
            <w:tcW w:type="dxa" w:w="2160"/>
          </w:tcPr>
          <w:p>
            <w:r/>
            <w:r>
              <w:rPr>
                <w:sz w:val="20"/>
              </w:rPr>
              <w:t>10%</w:t>
            </w:r>
          </w:p>
        </w:tc>
        <w:tc>
          <w:tcPr>
            <w:tcW w:type="dxa" w:w="2160"/>
          </w:tcPr>
          <w:p>
            <w:r/>
            <w:r>
              <w:rPr>
                <w:sz w:val="20"/>
              </w:rPr>
              <w:t>6</w:t>
            </w:r>
          </w:p>
        </w:tc>
        <w:tc>
          <w:tcPr>
            <w:tcW w:type="dxa" w:w="2160"/>
          </w:tcPr>
          <w:p>
            <w:r/>
            <w:r>
              <w:rPr>
                <w:sz w:val="20"/>
              </w:rPr>
              <w:t>总市值 31 亿（中型）。</w:t>
            </w:r>
          </w:p>
        </w:tc>
      </w:tr>
      <w:tr>
        <w:tc>
          <w:tcPr>
            <w:tcW w:type="dxa" w:w="2160"/>
          </w:tcPr>
          <w:p>
            <w:r/>
            <w:r>
              <w:rPr>
                <w:b/>
                <w:sz w:val="20"/>
              </w:rPr>
              <w:t>风险状况</w:t>
            </w:r>
          </w:p>
        </w:tc>
        <w:tc>
          <w:tcPr>
            <w:tcW w:type="dxa" w:w="2160"/>
          </w:tcPr>
          <w:p>
            <w:r/>
            <w:r>
              <w:rPr>
                <w:sz w:val="20"/>
              </w:rPr>
              <w:t>15%</w:t>
            </w:r>
          </w:p>
        </w:tc>
        <w:tc>
          <w:tcPr>
            <w:tcW w:type="dxa" w:w="2160"/>
          </w:tcPr>
          <w:p>
            <w:r/>
            <w:r>
              <w:rPr>
                <w:sz w:val="20"/>
              </w:rPr>
              <w:t>3</w:t>
            </w:r>
          </w:p>
        </w:tc>
        <w:tc>
          <w:tcPr>
            <w:tcW w:type="dxa" w:w="2160"/>
          </w:tcPr>
          <w:p>
            <w:r/>
            <w:r>
              <w:rPr>
                <w:sz w:val="20"/>
              </w:rPr>
              <w:t>4 项风险（High×2/Medium×2/Low×0），扣减 3.0。</w:t>
            </w:r>
          </w:p>
        </w:tc>
      </w:tr>
      <w:tr>
        <w:tc>
          <w:tcPr>
            <w:tcW w:type="dxa" w:w="2160"/>
          </w:tcPr>
          <w:p>
            <w:r/>
            <w:r>
              <w:rPr>
                <w:b/>
                <w:sz w:val="20"/>
              </w:rPr>
              <w:t>总计</w:t>
            </w:r>
          </w:p>
        </w:tc>
        <w:tc>
          <w:tcPr>
            <w:tcW w:type="dxa" w:w="2160"/>
          </w:tcPr>
          <w:p>
            <w:r/>
            <w:r>
              <w:rPr>
                <w:b/>
                <w:sz w:val="20"/>
              </w:rPr>
              <w:t>100%</w:t>
            </w:r>
          </w:p>
        </w:tc>
        <w:tc>
          <w:tcPr>
            <w:tcW w:type="dxa" w:w="2160"/>
          </w:tcPr>
          <w:p>
            <w:r/>
            <w:r>
              <w:rPr>
                <w:b/>
                <w:sz w:val="20"/>
              </w:rPr>
              <w:t>5.10</w:t>
            </w:r>
          </w:p>
        </w:tc>
        <w:tc>
          <w:tcPr>
            <w:tcW w:type="dxa" w:w="2160"/>
          </w:tcPr>
          <w:p>
            <w:r/>
            <w:r>
              <w:rPr>
                <w:b/>
                <w:sz w:val="20"/>
              </w:rPr>
              <w:t>→ NEUTRAL</w:t>
            </w:r>
          </w:p>
        </w:tc>
      </w:tr>
    </w:tbl>
    <w:p/>
    <w:p/>
    <w:p>
      <w:pPr>
        <w:jc w:val="center"/>
      </w:pPr>
      <w:r>
        <w:rPr>
          <w:b/>
          <w:color w:val="CC8800"/>
          <w:sz w:val="56"/>
        </w:rPr>
        <w:t xml:space="preserve">  NEUTRAL  </w:t>
      </w:r>
    </w:p>
    <w:p>
      <w:pPr>
        <w:jc w:val="center"/>
      </w:pPr>
      <w:r>
        <w:rPr>
          <w:b/>
          <w:color w:val="333333"/>
          <w:sz w:val="28"/>
        </w:rPr>
        <w:t>长期投资决策（6–18个月）</w:t>
      </w:r>
    </w:p>
    <w:p>
      <w:pPr>
        <w:jc w:val="center"/>
      </w:pPr>
      <w:r>
        <w:rPr>
          <w:color w:val="333333"/>
          <w:sz w:val="24"/>
        </w:rPr>
        <w:t>置信度: 51%</w:t>
      </w:r>
    </w:p>
    <w:p/>
    <w:p>
      <w:pPr/>
      <w:r>
        <w:rPr>
          <w:color w:val="333333"/>
          <w:sz w:val="22"/>
        </w:rPr>
        <w:t>长期（6–18个月）视角：海欣食品（002702.SZ）综合加权得分 5.1/10 → NEUTRAL。财务：财务指标中性。 成长：营收同比 +23.3%、净利同比 +27.6%（最新报告期）→ 双高增长。 估值：亏损/PE 无意义；PB 5年分位 42%，估值维度偏保守。 动量：12月温和上行 25%。 行业地位：总市值 31 亿（中型）。 风险：4 项风险（High×2/Medium×2/Low×0），扣减 3.0。置信度 51%。首板涨停属短线事件，本报告仅给出长期视角参考，不构成短线交易信号。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CN_MarketDataService.getKLineData（symbol=sz002702，1600日）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