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pPr>
        <w:jc w:val="center"/>
      </w:pPr>
      <w:r>
        <w:rPr>
          <w:b/>
          <w:color w:val="1A3C6E"/>
          <w:sz w:val="56"/>
        </w:rPr>
        <w:t>实丰文化</w:t>
      </w:r>
    </w:p>
    <w:p>
      <w:pPr>
        <w:jc w:val="center"/>
      </w:pPr>
      <w:r>
        <w:rPr>
          <w:color w:val="333333"/>
          <w:sz w:val="28"/>
        </w:rPr>
        <w:t>002862.SZ  ·  CN</w:t>
      </w:r>
    </w:p>
    <w:p/>
    <w:p/>
    <w:p>
      <w:pPr>
        <w:jc w:val="center"/>
      </w:pPr>
      <w:r>
        <w:rPr>
          <w:color w:val="1A3C6E"/>
          <w:sz w:val="32"/>
        </w:rPr>
        <w:t>投资决策报告</w:t>
      </w:r>
    </w:p>
    <w:p/>
    <w:p>
      <w:pPr>
        <w:jc w:val="center"/>
      </w:pPr>
      <w:r>
        <w:rPr>
          <w:color w:val="333333"/>
          <w:sz w:val="24"/>
        </w:rPr>
        <w:t>报告日期: 2026-09-04</w:t>
      </w:r>
    </w:p>
    <w:p>
      <w:r>
        <w:br w:type="page"/>
      </w:r>
    </w:p>
    <w:p>
      <w:pPr/>
      <w:r>
        <w:rPr>
          <w:b/>
          <w:color w:val="1A3C6E"/>
          <w:sz w:val="32"/>
        </w:rPr>
        <w:t>1. 公司概览</w:t>
      </w:r>
    </w:p>
    <w:p/>
    <w:p>
      <w:pPr/>
      <w:r>
        <w:rPr>
          <w:color w:val="333333"/>
          <w:sz w:val="20"/>
        </w:rPr>
        <w:t>实丰文化发展股份有限公司(股票代码:002862,简称:实丰文化),成立于1992年,是一家集专业设计、研发、制造、销售为一体的高新技术企业,总部位于广东省汕头市,拥有多项自主知识产权的专利,旗下实丰文化品牌荣登世界品牌实验室发布的第十二届《中国500最具价值品牌》排行榜,公司于2017年4月登陆中国A股资本市场。公司的玩具业务主要是各类玩具的研发设计、生产与销售,主要产品包括电动遥控玩具、婴幼玩具、车模玩具、动漫游戏衍生品玩具和其他玩具五大类,产品销往全球近百个国家和地区。随着科技的进步,公司不断调整和优化产品策略,形成“智能电动玩具、IP动漫衍生品玩具、潮流玩具”三大主要产品线。公司将AI技术、GPT技术与玩具有机结合,打造了GPT网络版智能飞飞兔等智能产品。在IP动漫衍生品玩具方面,公司积极与重磅优质IP合作,目前获得宝可梦、奶龙等热门IP授权,已开发宝可梦场景套装玩具系列、可达鸭款(电动)、奶龙款(电动)玩具正热销中。同时公司不断打造自主研发、原创的IP产品,打造了智能飞飞兔、企鹅嗡嗡、智能小怪兽等多款热销智能电动玩具。针对潮流玩具为新一代年轻人对于玩具可玩性、情绪价值、体验感等因素的需求,公司推出了原创潮玩萌龙学园系列盲盒,融入多种文化元素,让玩具更具人文关怀和温度,进一步的满足不同年龄段消费者更高的需求。聚焦“科技+文化”的产业发展,实丰文化率先提出并践行”网游文化引领传统玩具发展的前瞻性理念,构建“线上有游戏,线下有玩具”的新型研发模式和网络与实体双渠道并进的营销及文化传播模式,被评选为“广东省优势传统产业转型升级示范企业。2024年,游戏业务板块的运营模式将从抖音发行人短视频发展延伸至抖音直投、网络直播、快手直投,瞄准海外市场,进入大航海时代,同时公司将密切关注VR/AR、AI算法等技术突破发展动态,和用户习惯、政策环境等配合的最新动态,随着元宇宙技术的不断进步,游戏作为元宇宙概念的最佳载体,牢牢抓住新一轮的红利周期。业务团队将持续提高自研能力及发行能力,壮大自研团队以及运营商务投放团队,持续推出新的游戏作品,满足市场的多样化需求。公司秉持着“绿色科技赋能美好生活”的企业使命,紧跟国家“双碳”战略目标,在发展低碳环保材料玩具的同时,大力发展新能源业务,致力于成为领先的绿色能源提供商。公司专注于光伏电站等新能源项目的投资、EPC建设及运维,已参股投资的光伏组件制造厂,能保证公司投资建设电站所需组件的稳定提供。目前公司投资建设的多个分布式发电项目经过科学地评估、严谨地设计与严格地施工,均已并网使用中。报告期内,公司从研发端探索绿色低碳新材料的研发和应用,从光伏产业链端整合资源协同布局,从投资光伏组件厂、开发投资及运营光伏电站、承接光伏电站EPC承包项目,打造新能源业务的闭环生态链发展。</w:t>
      </w:r>
    </w:p>
    <w:p/>
    <w:tbl>
      <w:tblPr>
        <w:tblStyle w:val="LightGrid-Accent1"/>
        <w:tblW w:type="auto" w:w="0"/>
        <w:jc w:val="center"/>
        <w:tblLook w:firstColumn="1" w:firstRow="1" w:lastColumn="0" w:lastRow="0" w:noHBand="0" w:noVBand="1" w:val="04A0"/>
      </w:tblPr>
      <w:tblGrid>
        <w:gridCol w:w="4320"/>
        <w:gridCol w:w="4320"/>
      </w:tblGrid>
      <w:tr>
        <w:tc>
          <w:tcPr>
            <w:tcW w:type="dxa" w:w="4320"/>
          </w:tcPr>
          <w:p>
            <w:r/>
            <w:r>
              <w:rPr>
                <w:b/>
                <w:sz w:val="20"/>
              </w:rPr>
              <w:t>公司名称</w:t>
            </w:r>
          </w:p>
        </w:tc>
        <w:tc>
          <w:tcPr>
            <w:tcW w:type="dxa" w:w="4320"/>
          </w:tcPr>
          <w:p>
            <w:r/>
            <w:r>
              <w:rPr>
                <w:sz w:val="20"/>
              </w:rPr>
              <w:t>实丰文化</w:t>
            </w:r>
          </w:p>
        </w:tc>
      </w:tr>
      <w:tr>
        <w:tc>
          <w:tcPr>
            <w:tcW w:type="dxa" w:w="4320"/>
          </w:tcPr>
          <w:p>
            <w:r/>
            <w:r>
              <w:rPr>
                <w:b/>
                <w:sz w:val="20"/>
              </w:rPr>
              <w:t>股票代码</w:t>
            </w:r>
          </w:p>
        </w:tc>
        <w:tc>
          <w:tcPr>
            <w:tcW w:type="dxa" w:w="4320"/>
          </w:tcPr>
          <w:p>
            <w:r/>
            <w:r>
              <w:rPr>
                <w:sz w:val="20"/>
              </w:rPr>
              <w:t>002862.SZ</w:t>
            </w:r>
          </w:p>
        </w:tc>
      </w:tr>
      <w:tr>
        <w:tc>
          <w:tcPr>
            <w:tcW w:type="dxa" w:w="4320"/>
          </w:tcPr>
          <w:p>
            <w:r/>
            <w:r>
              <w:rPr>
                <w:b/>
                <w:sz w:val="20"/>
              </w:rPr>
              <w:t>市场</w:t>
            </w:r>
          </w:p>
        </w:tc>
        <w:tc>
          <w:tcPr>
            <w:tcW w:type="dxa" w:w="4320"/>
          </w:tcPr>
          <w:p>
            <w:r/>
            <w:r>
              <w:rPr>
                <w:sz w:val="20"/>
              </w:rPr>
              <w:t>cn</w:t>
            </w:r>
          </w:p>
        </w:tc>
      </w:tr>
      <w:tr>
        <w:tc>
          <w:tcPr>
            <w:tcW w:type="dxa" w:w="4320"/>
          </w:tcPr>
          <w:p>
            <w:r/>
            <w:r>
              <w:rPr>
                <w:b/>
                <w:sz w:val="20"/>
              </w:rPr>
              <w:t>行业</w:t>
            </w:r>
          </w:p>
        </w:tc>
        <w:tc>
          <w:tcPr>
            <w:tcW w:type="dxa" w:w="4320"/>
          </w:tcPr>
          <w:p>
            <w:r/>
            <w:r>
              <w:rPr>
                <w:sz w:val="20"/>
              </w:rPr>
              <w:t>文娱用品</w:t>
            </w:r>
          </w:p>
        </w:tc>
      </w:tr>
      <w:tr>
        <w:tc>
          <w:tcPr>
            <w:tcW w:type="dxa" w:w="4320"/>
          </w:tcPr>
          <w:p>
            <w:r/>
            <w:r>
              <w:rPr>
                <w:b/>
                <w:sz w:val="20"/>
              </w:rPr>
              <w:t>上市日期</w:t>
            </w:r>
          </w:p>
        </w:tc>
        <w:tc>
          <w:tcPr>
            <w:tcW w:type="dxa" w:w="4320"/>
          </w:tcPr>
          <w:p>
            <w:r/>
            <w:r>
              <w:rPr>
                <w:sz w:val="20"/>
              </w:rPr>
              <w:t>≈2012（最早报告期 2012-12-31 推断，无免费直接源）</w:t>
            </w:r>
          </w:p>
        </w:tc>
      </w:tr>
      <w:tr>
        <w:tc>
          <w:tcPr>
            <w:tcW w:type="dxa" w:w="4320"/>
          </w:tcPr>
          <w:p>
            <w:r/>
            <w:r>
              <w:rPr>
                <w:b/>
                <w:sz w:val="20"/>
              </w:rPr>
              <w:t>总部所在地</w:t>
            </w:r>
          </w:p>
        </w:tc>
        <w:tc>
          <w:tcPr>
            <w:tcW w:type="dxa" w:w="4320"/>
          </w:tcPr>
          <w:p>
            <w:r/>
            <w:r>
              <w:rPr>
                <w:sz w:val="20"/>
              </w:rPr>
              <w:t>广东 广东省汕头市澄海区文冠路澄华工业区实丰文化发展股份有限公司</w:t>
            </w:r>
          </w:p>
        </w:tc>
      </w:tr>
    </w:tbl>
    <w:p/>
    <w:p>
      <w:pPr/>
      <w:r>
        <w:rPr>
          <w:b/>
          <w:color w:val="1A3C6E"/>
          <w:sz w:val="32"/>
        </w:rPr>
        <w:t>2. 财务分析</w:t>
      </w:r>
    </w:p>
    <w:p/>
    <w:tbl>
      <w:tblPr>
        <w:tblStyle w:val="LightGrid-Accent1"/>
        <w:tblW w:type="auto" w:w="0"/>
        <w:jc w:val="center"/>
        <w:tblLook w:firstColumn="1" w:firstRow="1" w:lastColumn="0" w:lastRow="0" w:noHBand="0" w:noVBand="1" w:val="04A0"/>
      </w:tblPr>
      <w:tblGrid>
        <w:gridCol w:w="4320"/>
        <w:gridCol w:w="4320"/>
      </w:tblGrid>
      <w:tr>
        <w:tc>
          <w:tcPr>
            <w:tcW w:type="dxa" w:w="4320"/>
          </w:tcPr>
          <w:p>
            <w:r/>
            <w:r>
              <w:rPr>
                <w:b/>
                <w:sz w:val="20"/>
              </w:rPr>
              <w:t>营收趋势（同比）</w:t>
            </w:r>
          </w:p>
        </w:tc>
        <w:tc>
          <w:tcPr>
            <w:tcW w:type="dxa" w:w="4320"/>
          </w:tcPr>
          <w:p>
            <w:r/>
            <w:r>
              <w:rPr>
                <w:sz w:val="20"/>
              </w:rPr>
              <w:t>同比 +11.8%（报告期 2026-06-30）</w:t>
            </w:r>
          </w:p>
        </w:tc>
      </w:tr>
      <w:tr>
        <w:tc>
          <w:tcPr>
            <w:tcW w:type="dxa" w:w="4320"/>
          </w:tcPr>
          <w:p>
            <w:r/>
            <w:r>
              <w:rPr>
                <w:b/>
                <w:sz w:val="20"/>
              </w:rPr>
              <w:t>净利润趋势（同比）</w:t>
            </w:r>
          </w:p>
        </w:tc>
        <w:tc>
          <w:tcPr>
            <w:tcW w:type="dxa" w:w="4320"/>
          </w:tcPr>
          <w:p>
            <w:r/>
            <w:r>
              <w:rPr>
                <w:sz w:val="20"/>
              </w:rPr>
              <w:t>同比 -26.1%（报告期 2026-06-30）</w:t>
            </w:r>
          </w:p>
        </w:tc>
      </w:tr>
      <w:tr>
        <w:tc>
          <w:tcPr>
            <w:tcW w:type="dxa" w:w="4320"/>
          </w:tcPr>
          <w:p>
            <w:r/>
            <w:r>
              <w:rPr>
                <w:b/>
                <w:sz w:val="20"/>
              </w:rPr>
              <w:t>ROE (TTM)</w:t>
            </w:r>
          </w:p>
        </w:tc>
        <w:tc>
          <w:tcPr>
            <w:tcW w:type="dxa" w:w="4320"/>
          </w:tcPr>
          <w:p>
            <w:r/>
            <w:r>
              <w:rPr>
                <w:sz w:val="20"/>
              </w:rPr>
              <w:t>1.08%</w:t>
            </w:r>
          </w:p>
        </w:tc>
      </w:tr>
      <w:tr>
        <w:tc>
          <w:tcPr>
            <w:tcW w:type="dxa" w:w="4320"/>
          </w:tcPr>
          <w:p>
            <w:r/>
            <w:r>
              <w:rPr>
                <w:b/>
                <w:sz w:val="20"/>
              </w:rPr>
              <w:t>ROA (TTM)</w:t>
            </w:r>
          </w:p>
        </w:tc>
        <w:tc>
          <w:tcPr>
            <w:tcW w:type="dxa" w:w="4320"/>
          </w:tcPr>
          <w:p>
            <w:r/>
            <w:r>
              <w:rPr>
                <w:sz w:val="20"/>
              </w:rPr>
              <w:t>0.45%</w:t>
            </w:r>
          </w:p>
        </w:tc>
      </w:tr>
      <w:tr>
        <w:tc>
          <w:tcPr>
            <w:tcW w:type="dxa" w:w="4320"/>
          </w:tcPr>
          <w:p>
            <w:r/>
            <w:r>
              <w:rPr>
                <w:b/>
                <w:sz w:val="20"/>
              </w:rPr>
              <w:t>毛利率 (TTM)</w:t>
            </w:r>
          </w:p>
        </w:tc>
        <w:tc>
          <w:tcPr>
            <w:tcW w:type="dxa" w:w="4320"/>
          </w:tcPr>
          <w:p>
            <w:r/>
            <w:r>
              <w:rPr>
                <w:sz w:val="20"/>
              </w:rPr>
              <w:t>55.18%</w:t>
            </w:r>
          </w:p>
        </w:tc>
      </w:tr>
      <w:tr>
        <w:tc>
          <w:tcPr>
            <w:tcW w:type="dxa" w:w="4320"/>
          </w:tcPr>
          <w:p>
            <w:r/>
            <w:r>
              <w:rPr>
                <w:b/>
                <w:sz w:val="20"/>
              </w:rPr>
              <w:t>净利率 (TTM)</w:t>
            </w:r>
          </w:p>
        </w:tc>
        <w:tc>
          <w:tcPr>
            <w:tcW w:type="dxa" w:w="4320"/>
          </w:tcPr>
          <w:p>
            <w:r/>
            <w:r>
              <w:rPr>
                <w:sz w:val="20"/>
              </w:rPr>
              <w:t>1.48%</w:t>
            </w:r>
          </w:p>
        </w:tc>
      </w:tr>
      <w:tr>
        <w:tc>
          <w:tcPr>
            <w:tcW w:type="dxa" w:w="4320"/>
          </w:tcPr>
          <w:p>
            <w:r/>
            <w:r>
              <w:rPr>
                <w:b/>
                <w:sz w:val="20"/>
              </w:rPr>
              <w:t>负债权益比 (MRQ)</w:t>
            </w:r>
          </w:p>
        </w:tc>
        <w:tc>
          <w:tcPr>
            <w:tcW w:type="dxa" w:w="4320"/>
          </w:tcPr>
          <w:p>
            <w:r/>
            <w:r>
              <w:rPr>
                <w:sz w:val="20"/>
              </w:rPr>
              <w:t>1.4756</w:t>
            </w:r>
          </w:p>
        </w:tc>
      </w:tr>
      <w:tr>
        <w:tc>
          <w:tcPr>
            <w:tcW w:type="dxa" w:w="4320"/>
          </w:tcPr>
          <w:p>
            <w:r/>
            <w:r>
              <w:rPr>
                <w:b/>
                <w:sz w:val="20"/>
              </w:rPr>
              <w:t>经营现金流质量 (TTM)</w:t>
            </w:r>
          </w:p>
        </w:tc>
        <w:tc>
          <w:tcPr>
            <w:tcW w:type="dxa" w:w="4320"/>
          </w:tcPr>
          <w:p>
            <w:r/>
            <w:r>
              <w:rPr>
                <w:sz w:val="20"/>
              </w:rPr>
              <w:t>弱（OCF/NI = -11.9x）</w:t>
            </w:r>
          </w:p>
        </w:tc>
      </w:tr>
    </w:tbl>
    <w:p/>
    <w:p>
      <w:pPr/>
      <w:r>
        <w:rPr>
          <w:b/>
          <w:color w:val="1A3C6E"/>
          <w:sz w:val="32"/>
        </w:rPr>
        <w:t>3. 估值分析</w:t>
      </w:r>
    </w:p>
    <w:p/>
    <w:tbl>
      <w:tblPr>
        <w:tblStyle w:val="LightGrid-Accent1"/>
        <w:tblW w:type="auto" w:w="0"/>
        <w:jc w:val="center"/>
        <w:tblLook w:firstColumn="1" w:firstRow="1" w:lastColumn="0" w:lastRow="0" w:noHBand="0" w:noVBand="1" w:val="04A0"/>
      </w:tblPr>
      <w:tblGrid>
        <w:gridCol w:w="4320"/>
        <w:gridCol w:w="4320"/>
      </w:tblGrid>
      <w:tr>
        <w:tc>
          <w:tcPr>
            <w:tcW w:type="dxa" w:w="4320"/>
          </w:tcPr>
          <w:p>
            <w:r/>
            <w:r>
              <w:rPr>
                <w:b/>
                <w:sz w:val="20"/>
              </w:rPr>
              <w:t>市盈率 (TTM)</w:t>
            </w:r>
          </w:p>
        </w:tc>
        <w:tc>
          <w:tcPr>
            <w:tcW w:type="dxa" w:w="4320"/>
          </w:tcPr>
          <w:p>
            <w:r/>
            <w:r>
              <w:rPr>
                <w:sz w:val="20"/>
              </w:rPr>
              <w:t>440.59</w:t>
            </w:r>
          </w:p>
        </w:tc>
      </w:tr>
      <w:tr>
        <w:tc>
          <w:tcPr>
            <w:tcW w:type="dxa" w:w="4320"/>
          </w:tcPr>
          <w:p>
            <w:r/>
            <w:r>
              <w:rPr>
                <w:b/>
                <w:sz w:val="20"/>
              </w:rPr>
              <w:t>市净率 (MRQ)</w:t>
            </w:r>
          </w:p>
        </w:tc>
        <w:tc>
          <w:tcPr>
            <w:tcW w:type="dxa" w:w="4320"/>
          </w:tcPr>
          <w:p>
            <w:r/>
            <w:r>
              <w:rPr>
                <w:sz w:val="20"/>
              </w:rPr>
              <w:t>9.31</w:t>
            </w:r>
          </w:p>
        </w:tc>
      </w:tr>
      <w:tr>
        <w:tc>
          <w:tcPr>
            <w:tcW w:type="dxa" w:w="4320"/>
          </w:tcPr>
          <w:p>
            <w:r/>
            <w:r>
              <w:rPr>
                <w:b/>
                <w:sz w:val="20"/>
              </w:rPr>
              <w:t>EV / Revenue</w:t>
            </w:r>
          </w:p>
        </w:tc>
        <w:tc>
          <w:tcPr>
            <w:tcW w:type="dxa" w:w="4320"/>
          </w:tcPr>
          <w:p>
            <w:r/>
            <w:r>
              <w:rPr>
                <w:sz w:val="20"/>
              </w:rPr>
              <w:t>—</w:t>
            </w:r>
          </w:p>
        </w:tc>
      </w:tr>
      <w:tr>
        <w:tc>
          <w:tcPr>
            <w:tcW w:type="dxa" w:w="4320"/>
          </w:tcPr>
          <w:p>
            <w:r/>
            <w:r>
              <w:rPr>
                <w:b/>
                <w:sz w:val="20"/>
              </w:rPr>
              <w:t>EV / EBITDA</w:t>
            </w:r>
          </w:p>
        </w:tc>
        <w:tc>
          <w:tcPr>
            <w:tcW w:type="dxa" w:w="4320"/>
          </w:tcPr>
          <w:p>
            <w:r/>
            <w:r>
              <w:rPr>
                <w:sz w:val="20"/>
              </w:rPr>
              <w:t>—</w:t>
            </w:r>
          </w:p>
        </w:tc>
      </w:tr>
      <w:tr>
        <w:tc>
          <w:tcPr>
            <w:tcW w:type="dxa" w:w="4320"/>
          </w:tcPr>
          <w:p>
            <w:r/>
            <w:r>
              <w:rPr>
                <w:b/>
                <w:sz w:val="20"/>
              </w:rPr>
              <w:t>PEG比率 (TTM)</w:t>
            </w:r>
          </w:p>
        </w:tc>
        <w:tc>
          <w:tcPr>
            <w:tcW w:type="dxa" w:w="4320"/>
          </w:tcPr>
          <w:p>
            <w:r/>
            <w:r>
              <w:rPr>
                <w:sz w:val="20"/>
              </w:rPr>
              <w:t>Neg. Earnings</w:t>
            </w:r>
          </w:p>
        </w:tc>
      </w:tr>
      <w:tr>
        <w:tc>
          <w:tcPr>
            <w:tcW w:type="dxa" w:w="4320"/>
          </w:tcPr>
          <w:p>
            <w:r/>
            <w:r>
              <w:rPr>
                <w:b/>
                <w:sz w:val="20"/>
              </w:rPr>
              <w:t>PE 1年分位</w:t>
            </w:r>
          </w:p>
        </w:tc>
        <w:tc>
          <w:tcPr>
            <w:tcW w:type="dxa" w:w="4320"/>
          </w:tcPr>
          <w:p>
            <w:r/>
            <w:r>
              <w:rPr>
                <w:sz w:val="20"/>
              </w:rPr>
              <w:t>—</w:t>
            </w:r>
          </w:p>
        </w:tc>
      </w:tr>
      <w:tr>
        <w:tc>
          <w:tcPr>
            <w:tcW w:type="dxa" w:w="4320"/>
          </w:tcPr>
          <w:p>
            <w:r/>
            <w:r>
              <w:rPr>
                <w:b/>
                <w:sz w:val="20"/>
              </w:rPr>
              <w:t>PE 3年分位</w:t>
            </w:r>
          </w:p>
        </w:tc>
        <w:tc>
          <w:tcPr>
            <w:tcW w:type="dxa" w:w="4320"/>
          </w:tcPr>
          <w:p>
            <w:r/>
            <w:r>
              <w:rPr>
                <w:sz w:val="20"/>
              </w:rPr>
              <w:t>100%</w:t>
            </w:r>
          </w:p>
        </w:tc>
      </w:tr>
      <w:tr>
        <w:tc>
          <w:tcPr>
            <w:tcW w:type="dxa" w:w="4320"/>
          </w:tcPr>
          <w:p>
            <w:r/>
            <w:r>
              <w:rPr>
                <w:b/>
                <w:sz w:val="20"/>
              </w:rPr>
              <w:t>PE 5年分位</w:t>
            </w:r>
          </w:p>
        </w:tc>
        <w:tc>
          <w:tcPr>
            <w:tcW w:type="dxa" w:w="4320"/>
          </w:tcPr>
          <w:p>
            <w:r/>
            <w:r>
              <w:rPr>
                <w:sz w:val="20"/>
              </w:rPr>
              <w:t>90%</w:t>
            </w:r>
          </w:p>
        </w:tc>
      </w:tr>
    </w:tbl>
    <w:p/>
    <w:p/>
    <w:p>
      <w:pPr>
        <w:jc w:val="center"/>
      </w:pPr>
      <w:r>
        <w:drawing>
          <wp:inline xmlns:a="http://schemas.openxmlformats.org/drawingml/2006/main" xmlns:pic="http://schemas.openxmlformats.org/drawingml/2006/picture">
            <wp:extent cx="5029200" cy="2122764"/>
            <wp:docPr id="1" name="Picture 1"/>
            <wp:cNvGraphicFramePr>
              <a:graphicFrameLocks noChangeAspect="1"/>
            </wp:cNvGraphicFramePr>
            <a:graphic>
              <a:graphicData uri="http://schemas.openxmlformats.org/drawingml/2006/picture">
                <pic:pic>
                  <pic:nvPicPr>
                    <pic:cNvPr id="0" name="002862.SZ_price.png"/>
                    <pic:cNvPicPr/>
                  </pic:nvPicPr>
                  <pic:blipFill>
                    <a:blip r:embed="rId9"/>
                    <a:stretch>
                      <a:fillRect/>
                    </a:stretch>
                  </pic:blipFill>
                  <pic:spPr>
                    <a:xfrm>
                      <a:off x="0" y="0"/>
                      <a:ext cx="5029200" cy="2122764"/>
                    </a:xfrm>
                    <a:prstGeom prst="rect"/>
                  </pic:spPr>
                </pic:pic>
              </a:graphicData>
            </a:graphic>
          </wp:inline>
        </w:drawing>
      </w:r>
    </w:p>
    <w:p>
      <w:pPr/>
      <w:r>
        <w:rPr>
          <w:b/>
          <w:color w:val="1A3C6E"/>
          <w:sz w:val="32"/>
        </w:rPr>
        <w:t>4. 市场与情绪分析</w:t>
      </w:r>
    </w:p>
    <w:p/>
    <w:tbl>
      <w:tblPr>
        <w:tblStyle w:val="LightGrid-Accent1"/>
        <w:tblW w:type="auto" w:w="0"/>
        <w:jc w:val="center"/>
        <w:tblLook w:firstColumn="1" w:firstRow="1" w:lastColumn="0" w:lastRow="0" w:noHBand="0" w:noVBand="1" w:val="04A0"/>
      </w:tblPr>
      <w:tblGrid>
        <w:gridCol w:w="4320"/>
        <w:gridCol w:w="4320"/>
      </w:tblGrid>
      <w:tr>
        <w:tc>
          <w:tcPr>
            <w:tcW w:type="dxa" w:w="4320"/>
          </w:tcPr>
          <w:p>
            <w:r/>
            <w:r>
              <w:rPr>
                <w:b/>
                <w:sz w:val="20"/>
              </w:rPr>
              <w:t>1月回报</w:t>
            </w:r>
          </w:p>
        </w:tc>
        <w:tc>
          <w:tcPr>
            <w:tcW w:type="dxa" w:w="4320"/>
          </w:tcPr>
          <w:p>
            <w:r/>
            <w:r>
              <w:rPr>
                <w:sz w:val="20"/>
              </w:rPr>
              <w:t>17.34%</w:t>
            </w:r>
          </w:p>
        </w:tc>
      </w:tr>
      <w:tr>
        <w:tc>
          <w:tcPr>
            <w:tcW w:type="dxa" w:w="4320"/>
          </w:tcPr>
          <w:p>
            <w:r/>
            <w:r>
              <w:rPr>
                <w:b/>
                <w:sz w:val="20"/>
              </w:rPr>
              <w:t>3月回报</w:t>
            </w:r>
          </w:p>
        </w:tc>
        <w:tc>
          <w:tcPr>
            <w:tcW w:type="dxa" w:w="4320"/>
          </w:tcPr>
          <w:p>
            <w:r/>
            <w:r>
              <w:rPr>
                <w:sz w:val="20"/>
              </w:rPr>
              <w:t>4.70%</w:t>
            </w:r>
          </w:p>
        </w:tc>
      </w:tr>
      <w:tr>
        <w:tc>
          <w:tcPr>
            <w:tcW w:type="dxa" w:w="4320"/>
          </w:tcPr>
          <w:p>
            <w:r/>
            <w:r>
              <w:rPr>
                <w:b/>
                <w:sz w:val="20"/>
              </w:rPr>
              <w:t>6月回报</w:t>
            </w:r>
          </w:p>
        </w:tc>
        <w:tc>
          <w:tcPr>
            <w:tcW w:type="dxa" w:w="4320"/>
          </w:tcPr>
          <w:p>
            <w:r/>
            <w:r>
              <w:rPr>
                <w:sz w:val="20"/>
              </w:rPr>
              <w:t>-8.50%</w:t>
            </w:r>
          </w:p>
        </w:tc>
      </w:tr>
      <w:tr>
        <w:tc>
          <w:tcPr>
            <w:tcW w:type="dxa" w:w="4320"/>
          </w:tcPr>
          <w:p>
            <w:r/>
            <w:r>
              <w:rPr>
                <w:b/>
                <w:sz w:val="20"/>
              </w:rPr>
              <w:t>12月回报</w:t>
            </w:r>
          </w:p>
        </w:tc>
        <w:tc>
          <w:tcPr>
            <w:tcW w:type="dxa" w:w="4320"/>
          </w:tcPr>
          <w:p>
            <w:r/>
            <w:r>
              <w:rPr>
                <w:sz w:val="20"/>
              </w:rPr>
              <w:t>-20.83%</w:t>
            </w:r>
          </w:p>
        </w:tc>
      </w:tr>
      <w:tr>
        <w:tc>
          <w:tcPr>
            <w:tcW w:type="dxa" w:w="4320"/>
          </w:tcPr>
          <w:p>
            <w:r/>
            <w:r>
              <w:rPr>
                <w:b/>
                <w:sz w:val="20"/>
              </w:rPr>
              <w:t>成交量趋势（1年对比）</w:t>
            </w:r>
          </w:p>
        </w:tc>
        <w:tc>
          <w:tcPr>
            <w:tcW w:type="dxa" w:w="4320"/>
          </w:tcPr>
          <w:p>
            <w:r/>
            <w:r>
              <w:rPr>
                <w:sz w:val="20"/>
              </w:rPr>
              <w:t>放量 37.4%（近21日均量 vs 前21日）</w:t>
            </w:r>
          </w:p>
        </w:tc>
      </w:tr>
      <w:tr>
        <w:tc>
          <w:tcPr>
            <w:tcW w:type="dxa" w:w="4320"/>
          </w:tcPr>
          <w:p>
            <w:r/>
            <w:r>
              <w:rPr>
                <w:b/>
                <w:sz w:val="20"/>
              </w:rPr>
              <w:t>新闻舆情（30日）</w:t>
            </w:r>
          </w:p>
        </w:tc>
        <w:tc>
          <w:tcPr>
            <w:tcW w:type="dxa" w:w="4320"/>
          </w:tcPr>
          <w:p>
            <w:r/>
            <w:r>
              <w:rPr>
                <w:sz w:val="20"/>
              </w:rPr>
              <w:t>2026-09-04 首板涨停（13:15:21封板，封单资金 0.55 亿），短线关注度上升；行业（文娱用品）板块联动。基于东财涨停池数据，非新闻聚合。</w:t>
            </w:r>
          </w:p>
        </w:tc>
      </w:tr>
    </w:tbl>
    <w:p/>
    <w:p/>
    <w:p>
      <w:pPr>
        <w:jc w:val="center"/>
      </w:pPr>
      <w:r>
        <w:drawing>
          <wp:inline xmlns:a="http://schemas.openxmlformats.org/drawingml/2006/main" xmlns:pic="http://schemas.openxmlformats.org/drawingml/2006/picture">
            <wp:extent cx="5029200" cy="1837738"/>
            <wp:docPr id="2" name="Picture 2"/>
            <wp:cNvGraphicFramePr>
              <a:graphicFrameLocks noChangeAspect="1"/>
            </wp:cNvGraphicFramePr>
            <a:graphic>
              <a:graphicData uri="http://schemas.openxmlformats.org/drawingml/2006/picture">
                <pic:pic>
                  <pic:nvPicPr>
                    <pic:cNvPr id="0" name="002862.SZ_monthly.png"/>
                    <pic:cNvPicPr/>
                  </pic:nvPicPr>
                  <pic:blipFill>
                    <a:blip r:embed="rId10"/>
                    <a:stretch>
                      <a:fillRect/>
                    </a:stretch>
                  </pic:blipFill>
                  <pic:spPr>
                    <a:xfrm>
                      <a:off x="0" y="0"/>
                      <a:ext cx="5029200" cy="1837738"/>
                    </a:xfrm>
                    <a:prstGeom prst="rect"/>
                  </pic:spPr>
                </pic:pic>
              </a:graphicData>
            </a:graphic>
          </wp:inline>
        </w:drawing>
      </w:r>
    </w:p>
    <w:p/>
    <w:p>
      <w:pPr>
        <w:jc w:val="center"/>
      </w:pPr>
      <w:r>
        <w:drawing>
          <wp:inline xmlns:a="http://schemas.openxmlformats.org/drawingml/2006/main" xmlns:pic="http://schemas.openxmlformats.org/drawingml/2006/picture">
            <wp:extent cx="4389120" cy="1863306"/>
            <wp:docPr id="3" name="Picture 3"/>
            <wp:cNvGraphicFramePr>
              <a:graphicFrameLocks noChangeAspect="1"/>
            </wp:cNvGraphicFramePr>
            <a:graphic>
              <a:graphicData uri="http://schemas.openxmlformats.org/drawingml/2006/picture">
                <pic:pic>
                  <pic:nvPicPr>
                    <pic:cNvPr id="0" name="002862.SZ_yearly.png"/>
                    <pic:cNvPicPr/>
                  </pic:nvPicPr>
                  <pic:blipFill>
                    <a:blip r:embed="rId11"/>
                    <a:stretch>
                      <a:fillRect/>
                    </a:stretch>
                  </pic:blipFill>
                  <pic:spPr>
                    <a:xfrm>
                      <a:off x="0" y="0"/>
                      <a:ext cx="4389120" cy="1863306"/>
                    </a:xfrm>
                    <a:prstGeom prst="rect"/>
                  </pic:spPr>
                </pic:pic>
              </a:graphicData>
            </a:graphic>
          </wp:inline>
        </w:drawing>
      </w:r>
    </w:p>
    <w:p>
      <w:pPr/>
      <w:r>
        <w:rPr>
          <w:b/>
          <w:color w:val="1A3C6E"/>
          <w:sz w:val="32"/>
        </w:rPr>
        <w:t>5. 风险评估</w:t>
      </w:r>
    </w:p>
    <w:p/>
    <w:tbl>
      <w:tblPr>
        <w:tblStyle w:val="LightGrid-Accent1"/>
        <w:tblW w:type="auto" w:w="0"/>
        <w:jc w:val="center"/>
        <w:tblLook w:firstColumn="1" w:firstRow="1" w:lastColumn="0" w:lastRow="0" w:noHBand="0" w:noVBand="1" w:val="04A0"/>
      </w:tblPr>
      <w:tblGrid>
        <w:gridCol w:w="2880"/>
        <w:gridCol w:w="2880"/>
        <w:gridCol w:w="2880"/>
      </w:tblGrid>
      <w:tr>
        <w:tc>
          <w:tcPr>
            <w:tcW w:type="dxa" w:w="2880"/>
          </w:tcPr>
          <w:p>
            <w:r>
              <w:rPr>
                <w:b/>
              </w:rPr>
              <w:t>风险因素</w:t>
            </w:r>
          </w:p>
        </w:tc>
        <w:tc>
          <w:tcPr>
            <w:tcW w:type="dxa" w:w="2880"/>
          </w:tcPr>
          <w:p>
            <w:r>
              <w:rPr>
                <w:b/>
              </w:rPr>
              <w:t>级别</w:t>
            </w:r>
          </w:p>
        </w:tc>
        <w:tc>
          <w:tcPr>
            <w:tcW w:type="dxa" w:w="2880"/>
          </w:tcPr>
          <w:p>
            <w:r>
              <w:rPr>
                <w:b/>
              </w:rPr>
              <w:t>缓解因素</w:t>
            </w:r>
          </w:p>
        </w:tc>
      </w:tr>
      <w:tr>
        <w:tc>
          <w:tcPr>
            <w:tcW w:type="dxa" w:w="2880"/>
          </w:tcPr>
          <w:p>
            <w:r>
              <w:t>短线交易风险：2026-09-04 首板涨停（13:15:21封板），情绪驱动成分高</w:t>
            </w:r>
          </w:p>
        </w:tc>
        <w:tc>
          <w:tcPr>
            <w:tcW w:type="dxa" w:w="2880"/>
            <w:shd w:fill="FFCCCC" w:val="clear"/>
          </w:tcPr>
          <w:p>
            <w:r>
              <w:t>High</w:t>
            </w:r>
          </w:p>
        </w:tc>
        <w:tc>
          <w:tcPr>
            <w:tcW w:type="dxa" w:w="2880"/>
          </w:tcPr>
          <w:p>
            <w:r>
              <w:t>本报告为 6–18 个月长期视角，不建议涨停次日追高；等待情绪回落后再评估入场点</w:t>
            </w:r>
          </w:p>
        </w:tc>
      </w:tr>
      <w:tr>
        <w:tc>
          <w:tcPr>
            <w:tcW w:type="dxa" w:w="2880"/>
          </w:tcPr>
          <w:p>
            <w:r>
              <w:t>股权质押风险：质押占流通盘 25.6%（CSDC）</w:t>
            </w:r>
          </w:p>
        </w:tc>
        <w:tc>
          <w:tcPr>
            <w:tcW w:type="dxa" w:w="2880"/>
            <w:shd w:fill="FFCCCC" w:val="clear"/>
          </w:tcPr>
          <w:p>
            <w:r>
              <w:t>High</w:t>
            </w:r>
          </w:p>
        </w:tc>
        <w:tc>
          <w:tcPr>
            <w:tcW w:type="dxa" w:w="2880"/>
          </w:tcPr>
          <w:p>
            <w:r>
              <w:t>关注质押率变化与股价跌破预警线/平仓线的可能</w:t>
            </w:r>
          </w:p>
        </w:tc>
      </w:tr>
      <w:tr>
        <w:tc>
          <w:tcPr>
            <w:tcW w:type="dxa" w:w="2880"/>
          </w:tcPr>
          <w:p>
            <w:r>
              <w:t>业绩下滑风险：最新报告期归母净利同比 -26.1%</w:t>
            </w:r>
          </w:p>
        </w:tc>
        <w:tc>
          <w:tcPr>
            <w:tcW w:type="dxa" w:w="2880"/>
            <w:shd w:fill="FFF3CD" w:val="clear"/>
          </w:tcPr>
          <w:p>
            <w:r>
              <w:t>Medium</w:t>
            </w:r>
          </w:p>
        </w:tc>
        <w:tc>
          <w:tcPr>
            <w:tcW w:type="dxa" w:w="2880"/>
          </w:tcPr>
          <w:p>
            <w:r>
              <w:t>以季报验证拐点；若连续两期下滑应下修评级</w:t>
            </w:r>
          </w:p>
        </w:tc>
      </w:tr>
      <w:tr>
        <w:tc>
          <w:tcPr>
            <w:tcW w:type="dxa" w:w="2880"/>
          </w:tcPr>
          <w:p>
            <w:r>
              <w:t>估值风险：PE TTM 处于近5年 90% 分位（偏高）</w:t>
            </w:r>
          </w:p>
        </w:tc>
        <w:tc>
          <w:tcPr>
            <w:tcW w:type="dxa" w:w="2880"/>
            <w:shd w:fill="FFF3CD" w:val="clear"/>
          </w:tcPr>
          <w:p>
            <w:r>
              <w:t>Medium</w:t>
            </w:r>
          </w:p>
        </w:tc>
        <w:tc>
          <w:tcPr>
            <w:tcW w:type="dxa" w:w="2880"/>
          </w:tcPr>
          <w:p>
            <w:r>
              <w:t>估值回归风险需以成长性消化，注意预期差</w:t>
            </w:r>
          </w:p>
        </w:tc>
      </w:tr>
      <w:tr>
        <w:tc>
          <w:tcPr>
            <w:tcW w:type="dxa" w:w="2880"/>
          </w:tcPr>
          <w:p>
            <w:r>
              <w:t>流动性风险：流通市值仅 20.6 亿，波动放大</w:t>
            </w:r>
          </w:p>
        </w:tc>
        <w:tc>
          <w:tcPr>
            <w:tcW w:type="dxa" w:w="2880"/>
            <w:shd w:fill="FFF3CD" w:val="clear"/>
          </w:tcPr>
          <w:p>
            <w:r>
              <w:t>Medium</w:t>
            </w:r>
          </w:p>
        </w:tc>
        <w:tc>
          <w:tcPr>
            <w:tcW w:type="dxa" w:w="2880"/>
          </w:tcPr>
          <w:p>
            <w:r>
              <w:t>小流通盘对资金敏感，控制仓位</w:t>
            </w:r>
          </w:p>
        </w:tc>
      </w:tr>
    </w:tbl>
    <w:p/>
    <w:p>
      <w:pPr/>
      <w:r>
        <w:rPr>
          <w:b/>
          <w:color w:val="1A3C6E"/>
          <w:sz w:val="32"/>
        </w:rPr>
        <w:t>6. 长期投资决策</w:t>
      </w:r>
    </w:p>
    <w:p/>
    <w:tbl>
      <w:tblPr>
        <w:tblStyle w:val="LightGrid-Accent1"/>
        <w:tblW w:type="auto" w:w="0"/>
        <w:jc w:val="center"/>
        <w:tblLook w:firstColumn="1" w:firstRow="1" w:lastColumn="0" w:lastRow="0" w:noHBand="0" w:noVBand="1" w:val="04A0"/>
      </w:tblPr>
      <w:tblGrid>
        <w:gridCol w:w="2160"/>
        <w:gridCol w:w="2160"/>
        <w:gridCol w:w="2160"/>
        <w:gridCol w:w="2160"/>
      </w:tblGrid>
      <w:tr>
        <w:tc>
          <w:tcPr>
            <w:tcW w:type="dxa" w:w="2160"/>
          </w:tcPr>
          <w:p>
            <w:r/>
            <w:r>
              <w:rPr>
                <w:b/>
                <w:sz w:val="20"/>
              </w:rPr>
              <w:t>维度</w:t>
            </w:r>
          </w:p>
        </w:tc>
        <w:tc>
          <w:tcPr>
            <w:tcW w:type="dxa" w:w="2160"/>
          </w:tcPr>
          <w:p>
            <w:r/>
            <w:r>
              <w:rPr>
                <w:b/>
                <w:sz w:val="20"/>
              </w:rPr>
              <w:t>权重</w:t>
            </w:r>
          </w:p>
        </w:tc>
        <w:tc>
          <w:tcPr>
            <w:tcW w:type="dxa" w:w="2160"/>
          </w:tcPr>
          <w:p>
            <w:r/>
            <w:r>
              <w:rPr>
                <w:b/>
                <w:sz w:val="20"/>
              </w:rPr>
              <w:t>得分 (1–10)</w:t>
            </w:r>
          </w:p>
        </w:tc>
        <w:tc>
          <w:tcPr>
            <w:tcW w:type="dxa" w:w="2160"/>
          </w:tcPr>
          <w:p>
            <w:r/>
            <w:r>
              <w:rPr>
                <w:b/>
                <w:sz w:val="20"/>
              </w:rPr>
              <w:t>理由</w:t>
            </w:r>
          </w:p>
        </w:tc>
      </w:tr>
      <w:tr>
        <w:tc>
          <w:tcPr>
            <w:tcW w:type="dxa" w:w="2160"/>
          </w:tcPr>
          <w:p>
            <w:r/>
            <w:r>
              <w:rPr>
                <w:b/>
                <w:sz w:val="20"/>
              </w:rPr>
              <w:t>财务健康</w:t>
            </w:r>
          </w:p>
        </w:tc>
        <w:tc>
          <w:tcPr>
            <w:tcW w:type="dxa" w:w="2160"/>
          </w:tcPr>
          <w:p>
            <w:r/>
            <w:r>
              <w:rPr>
                <w:sz w:val="20"/>
              </w:rPr>
              <w:t>20%</w:t>
            </w:r>
          </w:p>
        </w:tc>
        <w:tc>
          <w:tcPr>
            <w:tcW w:type="dxa" w:w="2160"/>
          </w:tcPr>
          <w:p>
            <w:r/>
            <w:r>
              <w:rPr>
                <w:sz w:val="20"/>
              </w:rPr>
              <w:t>2</w:t>
            </w:r>
          </w:p>
        </w:tc>
        <w:tc>
          <w:tcPr>
            <w:tcW w:type="dxa" w:w="2160"/>
          </w:tcPr>
          <w:p>
            <w:r/>
            <w:r>
              <w:rPr>
                <w:sz w:val="20"/>
              </w:rPr>
              <w:t>经营现金流/净利 -11.9x(现金流为负)。</w:t>
            </w:r>
          </w:p>
        </w:tc>
      </w:tr>
      <w:tr>
        <w:tc>
          <w:tcPr>
            <w:tcW w:type="dxa" w:w="2160"/>
          </w:tcPr>
          <w:p>
            <w:r/>
            <w:r>
              <w:rPr>
                <w:b/>
                <w:sz w:val="20"/>
              </w:rPr>
              <w:t>成长性</w:t>
            </w:r>
          </w:p>
        </w:tc>
        <w:tc>
          <w:tcPr>
            <w:tcW w:type="dxa" w:w="2160"/>
          </w:tcPr>
          <w:p>
            <w:r/>
            <w:r>
              <w:rPr>
                <w:sz w:val="20"/>
              </w:rPr>
              <w:t>20%</w:t>
            </w:r>
          </w:p>
        </w:tc>
        <w:tc>
          <w:tcPr>
            <w:tcW w:type="dxa" w:w="2160"/>
          </w:tcPr>
          <w:p>
            <w:r/>
            <w:r>
              <w:rPr>
                <w:sz w:val="20"/>
              </w:rPr>
              <w:t>6</w:t>
            </w:r>
          </w:p>
        </w:tc>
        <w:tc>
          <w:tcPr>
            <w:tcW w:type="dxa" w:w="2160"/>
          </w:tcPr>
          <w:p>
            <w:r/>
            <w:r>
              <w:rPr>
                <w:sz w:val="20"/>
              </w:rPr>
              <w:t>营收同比 +11.8%、净利同比 -26.1%（最新报告期）→ 低增长。</w:t>
            </w:r>
          </w:p>
        </w:tc>
      </w:tr>
      <w:tr>
        <w:tc>
          <w:tcPr>
            <w:tcW w:type="dxa" w:w="2160"/>
          </w:tcPr>
          <w:p>
            <w:r/>
            <w:r>
              <w:rPr>
                <w:b/>
                <w:sz w:val="20"/>
              </w:rPr>
              <w:t>估值</w:t>
            </w:r>
          </w:p>
        </w:tc>
        <w:tc>
          <w:tcPr>
            <w:tcW w:type="dxa" w:w="2160"/>
          </w:tcPr>
          <w:p>
            <w:r/>
            <w:r>
              <w:rPr>
                <w:sz w:val="20"/>
              </w:rPr>
              <w:t>20%</w:t>
            </w:r>
          </w:p>
        </w:tc>
        <w:tc>
          <w:tcPr>
            <w:tcW w:type="dxa" w:w="2160"/>
          </w:tcPr>
          <w:p>
            <w:r/>
            <w:r>
              <w:rPr>
                <w:sz w:val="20"/>
              </w:rPr>
              <w:t>2</w:t>
            </w:r>
          </w:p>
        </w:tc>
        <w:tc>
          <w:tcPr>
            <w:tcW w:type="dxa" w:w="2160"/>
          </w:tcPr>
          <w:p>
            <w:r/>
            <w:r>
              <w:rPr>
                <w:sz w:val="20"/>
              </w:rPr>
              <w:t>PE TTM 440.6，5年点-in-time分位 90% → 历史高位。</w:t>
            </w:r>
          </w:p>
        </w:tc>
      </w:tr>
      <w:tr>
        <w:tc>
          <w:tcPr>
            <w:tcW w:type="dxa" w:w="2160"/>
          </w:tcPr>
          <w:p>
            <w:r/>
            <w:r>
              <w:rPr>
                <w:b/>
                <w:sz w:val="20"/>
              </w:rPr>
              <w:t>动量与情绪</w:t>
            </w:r>
          </w:p>
        </w:tc>
        <w:tc>
          <w:tcPr>
            <w:tcW w:type="dxa" w:w="2160"/>
          </w:tcPr>
          <w:p>
            <w:r/>
            <w:r>
              <w:rPr>
                <w:sz w:val="20"/>
              </w:rPr>
              <w:t>15%</w:t>
            </w:r>
          </w:p>
        </w:tc>
        <w:tc>
          <w:tcPr>
            <w:tcW w:type="dxa" w:w="2160"/>
          </w:tcPr>
          <w:p>
            <w:r/>
            <w:r>
              <w:rPr>
                <w:sz w:val="20"/>
              </w:rPr>
              <w:t>6</w:t>
            </w:r>
          </w:p>
        </w:tc>
        <w:tc>
          <w:tcPr>
            <w:tcW w:type="dxa" w:w="2160"/>
          </w:tcPr>
          <w:p>
            <w:r/>
            <w:r>
              <w:rPr>
                <w:sz w:val="20"/>
              </w:rPr>
              <w:t>12月下跌 -21%。</w:t>
            </w:r>
          </w:p>
        </w:tc>
      </w:tr>
      <w:tr>
        <w:tc>
          <w:tcPr>
            <w:tcW w:type="dxa" w:w="2160"/>
          </w:tcPr>
          <w:p>
            <w:r/>
            <w:r>
              <w:rPr>
                <w:b/>
                <w:sz w:val="20"/>
              </w:rPr>
              <w:t>行业地位</w:t>
            </w:r>
          </w:p>
        </w:tc>
        <w:tc>
          <w:tcPr>
            <w:tcW w:type="dxa" w:w="2160"/>
          </w:tcPr>
          <w:p>
            <w:r/>
            <w:r>
              <w:rPr>
                <w:sz w:val="20"/>
              </w:rPr>
              <w:t>10%</w:t>
            </w:r>
          </w:p>
        </w:tc>
        <w:tc>
          <w:tcPr>
            <w:tcW w:type="dxa" w:w="2160"/>
          </w:tcPr>
          <w:p>
            <w:r/>
            <w:r>
              <w:rPr>
                <w:sz w:val="20"/>
              </w:rPr>
              <w:t>4</w:t>
            </w:r>
          </w:p>
        </w:tc>
        <w:tc>
          <w:tcPr>
            <w:tcW w:type="dxa" w:w="2160"/>
          </w:tcPr>
          <w:p>
            <w:r/>
            <w:r>
              <w:rPr>
                <w:sz w:val="20"/>
              </w:rPr>
              <w:t>总市值 27 亿（中小）；PE 超申万行业中位 45.5 两倍以上。</w:t>
            </w:r>
          </w:p>
        </w:tc>
      </w:tr>
      <w:tr>
        <w:tc>
          <w:tcPr>
            <w:tcW w:type="dxa" w:w="2160"/>
          </w:tcPr>
          <w:p>
            <w:r/>
            <w:r>
              <w:rPr>
                <w:b/>
                <w:sz w:val="20"/>
              </w:rPr>
              <w:t>风险状况</w:t>
            </w:r>
          </w:p>
        </w:tc>
        <w:tc>
          <w:tcPr>
            <w:tcW w:type="dxa" w:w="2160"/>
          </w:tcPr>
          <w:p>
            <w:r/>
            <w:r>
              <w:rPr>
                <w:sz w:val="20"/>
              </w:rPr>
              <w:t>15%</w:t>
            </w:r>
          </w:p>
        </w:tc>
        <w:tc>
          <w:tcPr>
            <w:tcW w:type="dxa" w:w="2160"/>
          </w:tcPr>
          <w:p>
            <w:r/>
            <w:r>
              <w:rPr>
                <w:sz w:val="20"/>
              </w:rPr>
              <w:t>2</w:t>
            </w:r>
          </w:p>
        </w:tc>
        <w:tc>
          <w:tcPr>
            <w:tcW w:type="dxa" w:w="2160"/>
          </w:tcPr>
          <w:p>
            <w:r/>
            <w:r>
              <w:rPr>
                <w:sz w:val="20"/>
              </w:rPr>
              <w:t>5 项风险（High×2/Medium×3/Low×0），扣减 3.5。</w:t>
            </w:r>
          </w:p>
        </w:tc>
      </w:tr>
      <w:tr>
        <w:tc>
          <w:tcPr>
            <w:tcW w:type="dxa" w:w="2160"/>
          </w:tcPr>
          <w:p>
            <w:r/>
            <w:r>
              <w:rPr>
                <w:b/>
                <w:sz w:val="20"/>
              </w:rPr>
              <w:t>总计</w:t>
            </w:r>
          </w:p>
        </w:tc>
        <w:tc>
          <w:tcPr>
            <w:tcW w:type="dxa" w:w="2160"/>
          </w:tcPr>
          <w:p>
            <w:r/>
            <w:r>
              <w:rPr>
                <w:b/>
                <w:sz w:val="20"/>
              </w:rPr>
              <w:t>100%</w:t>
            </w:r>
          </w:p>
        </w:tc>
        <w:tc>
          <w:tcPr>
            <w:tcW w:type="dxa" w:w="2160"/>
          </w:tcPr>
          <w:p>
            <w:r/>
            <w:r>
              <w:rPr>
                <w:b/>
                <w:sz w:val="20"/>
              </w:rPr>
              <w:t>3.55</w:t>
            </w:r>
          </w:p>
        </w:tc>
        <w:tc>
          <w:tcPr>
            <w:tcW w:type="dxa" w:w="2160"/>
          </w:tcPr>
          <w:p>
            <w:r/>
            <w:r>
              <w:rPr>
                <w:b/>
                <w:sz w:val="20"/>
              </w:rPr>
              <w:t>→ SELL</w:t>
            </w:r>
          </w:p>
        </w:tc>
      </w:tr>
    </w:tbl>
    <w:p/>
    <w:p/>
    <w:p>
      <w:pPr>
        <w:jc w:val="center"/>
      </w:pPr>
      <w:r>
        <w:rPr>
          <w:b/>
          <w:color w:val="CC0000"/>
          <w:sz w:val="56"/>
        </w:rPr>
        <w:t xml:space="preserve">  SELL  </w:t>
      </w:r>
    </w:p>
    <w:p>
      <w:pPr>
        <w:jc w:val="center"/>
      </w:pPr>
      <w:r>
        <w:rPr>
          <w:b/>
          <w:color w:val="333333"/>
          <w:sz w:val="28"/>
        </w:rPr>
        <w:t>长期投资决策（6–18个月）</w:t>
      </w:r>
    </w:p>
    <w:p>
      <w:pPr>
        <w:jc w:val="center"/>
      </w:pPr>
      <w:r>
        <w:rPr>
          <w:color w:val="333333"/>
          <w:sz w:val="24"/>
        </w:rPr>
        <w:t>置信度: 65%</w:t>
      </w:r>
    </w:p>
    <w:p/>
    <w:p>
      <w:pPr/>
      <w:r>
        <w:rPr>
          <w:color w:val="333333"/>
          <w:sz w:val="22"/>
        </w:rPr>
        <w:t>长期（6–18个月）视角：实丰文化（002862.SZ）综合加权得分 3.55/10 → SELL。财务：经营现金流/净利 -11.9x(现金流为负)。 成长：营收同比 +11.8%、净利同比 -26.1%（最新报告期）→ 低增长。 估值：PE TTM 440.6，5年点-in-time分位 90% → 历史高位。 动量：12月下跌 -21%。 行业地位：总市值 27 亿（中小）；PE 超申万行业中位 45.5 两倍以上。 风险：5 项风险（High×2/Medium×3/Low×0），扣减 3.5。置信度 65%。首板涨停属短线事件，本报告仅给出长期视角参考，不构成短线交易信号。</w:t>
      </w:r>
    </w:p>
    <w:p>
      <w:r>
        <w:br w:type="page"/>
      </w:r>
    </w:p>
    <w:p>
      <w:pPr/>
      <w:r>
        <w:rPr>
          <w:b/>
          <w:color w:val="1A3C6E"/>
          <w:sz w:val="32"/>
        </w:rPr>
        <w:t>8. 数据来源与参考文献</w:t>
      </w:r>
    </w:p>
    <w:p/>
    <w:p>
      <w:pPr/>
      <w:r>
        <w:rPr>
          <w:color w:val="333333"/>
          <w:sz w:val="18"/>
        </w:rPr>
        <w:t>1. Financial data: 东财 datacenter RPT_F10_FINANCE_MAINFINADATA（季度累计，北交所覆盖）</w:t>
      </w:r>
    </w:p>
    <w:p>
      <w:pPr/>
      <w:r>
        <w:rPr>
          <w:color w:val="333333"/>
          <w:sz w:val="18"/>
        </w:rPr>
        <w:t>2. Price data: 新浪财经日K线 CN_MarketDataService.getKLineData（symbol=sz002862，1600日）</w:t>
      </w:r>
    </w:p>
    <w:p>
      <w:pPr/>
      <w:r>
        <w:rPr>
          <w:color w:val="333333"/>
          <w:sz w:val="18"/>
        </w:rPr>
        <w:t>3. News &amp; sentiment: 东财涨停池（push2ex，2026-09-04）——事实性事件描述，非新闻聚合</w:t>
      </w:r>
    </w:p>
    <w:p>
      <w:pPr/>
      <w:r>
        <w:rPr>
          <w:color w:val="333333"/>
          <w:sz w:val="18"/>
        </w:rPr>
        <w:t>4. Analyst ratings: 无免费源（未披露，未纳入评分）</w:t>
      </w:r>
    </w:p>
    <w:p>
      <w:pPr/>
      <w:r>
        <w:rPr>
          <w:color w:val="333333"/>
          <w:sz w:val="18"/>
        </w:rPr>
        <w:t>5. Industry research: 申万一级行业中位PE（抽样≤30，腾讯批量PE）</w:t>
      </w:r>
    </w:p>
    <w:p>
      <w:pPr/>
      <w:r>
        <w:rPr>
          <w:color w:val="333333"/>
          <w:sz w:val="18"/>
        </w:rPr>
        <w:t>6. Risk factors: CSDC 质押数据（shim get_stock_pledge）+ 东财涨停池 push2ex getTopicZTPool（2026-09-04）</w:t>
      </w:r>
    </w:p>
    <w:p>
      <w:pPr/>
      <w:r>
        <w:rPr>
          <w:color w:val="333333"/>
          <w:sz w:val="18"/>
        </w:rPr>
        <w:t>7. Company info: 东财 F10 CompanySurvey PageAjax（ORG_PROFILE/ADDRESS）</w:t>
      </w:r>
    </w:p>
    <w:p/>
    <w:p>
      <w:pPr/>
      <w:r>
        <w:rPr>
          <w:color w:val="999999"/>
          <w:sz w:val="16"/>
        </w:rPr>
        <w:t>Report generated: 2026-09-04</w:t>
      </w:r>
    </w:p>
    <w:p>
      <w:pPr/>
      <w:r>
        <w:rPr>
          <w:color w:val="999999"/>
          <w:sz w:val="16"/>
        </w:rPr>
        <w:t>本报告由AI生成，仅供研究参考，不构成投资建议。</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