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统一股份</w:t>
      </w:r>
    </w:p>
    <w:p>
      <w:pPr>
        <w:jc w:val="center"/>
      </w:pPr>
      <w:r>
        <w:rPr>
          <w:color w:val="333333"/>
          <w:sz w:val="28"/>
        </w:rPr>
        <w:t>600506.SH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统一低碳科技(新疆)股份有限公司(股票代码:600506,简称:统一股份)以“从低碳润滑到智慧液冷”为战略定位,以低碳润滑和智慧液冷为核心,致力于成为“智慧流体科技”领域的探索与实践者。公司以“创造新一代智慧流体科技,解决交通、工业、能源与算力社会在安全、散热与环保方面的核心挑战,与伙伴共同迈向可持续的美好未来”为使命,并致力于成为全球能源转型与算力社会升级进程中可信赖的贡献者,依托低碳润滑与智慧液冷技术,做能源转型与绿色发展的可信伙伴。公司秉持“科技向善、做客户和地球都爱的产品”的价值观,提出“统一智慧流体,守护你和地球”的品牌主张,守护车辆与设备稳定运行、新能源安全、数字社会高效以及人与地球的共生。在低碳润滑与智慧液冷双核驱动下,统一股份持续推动产品与市场的结构化升级,展现出长效、绿色、高精、更深、国际领先的综合实力,并已在全球市场中占据重要地位。统一股份控股持有统一石油化工有限公司。旗下统一润滑油,创立于1993年,国有三大润滑油品牌之一,根据2024克莱恩全球市场排名,已位居全球主流品牌第25位、亚太排名第11位、中国排名第6位,并位列独立润滑油公司第5位。围绕中国碳达峰碳中和目标,统一依托T-lab低碳润滑实验室及减碳专利技术,专注于低碳润滑油液的研发、生产与销售,为交通运输、工业制造、电力、矿业、农业机械、无人机等重点脱碳行业提供低碳润滑解决方案;同时,面向数据中心、通讯基站、新能源、储能、充电设施等数字社会关键场景,提供先进的液冷与特种油脂产品,支撑能源转型与算力社会的可持续发展。持续低碳创新,为客户提供激动人心的低碳产品和服务,同时为地球的可持续未来创造全新价值,是统一的发展使命。2019年以来,为满足国家战略和市场发展需求,统一率先践行CCER中国核证减排量办法,在行业内率先提出并自愿践行低碳战略,从碳中和目标和路线图到低碳技术研发、再到低碳产品解决方案和低碳品牌打造,进行全面布局。供应链与技术方面,统一已构建完整的ESG体系,并通过持续采购、碳排放管理体系、能源管理体系,水足迹等多项ISO认证。统一在2021年已率先实现工厂“碳达峰”,同时承诺到2030年实现温室气体(GHG)排放量减少50%,到2040实现净零碳排放,成为润滑油行业中承诺最早实现全价值链碳中和的企业。2025年,统一润滑油减碳9.3万吨,相当于432万棵树一年吸碳量,减少燃油车上路量3.4万辆。伴随着统一在低碳领域的不断努力与付出,自2023至2025年,统一连续获邀参加联合国气候变化大会,成为走进联合国的低碳润滑油品牌。立足当下,展望未来,统一股份将持续践行技术承诺与可持续发展使命,期待与全球伙伴同心协力,不仅提供产品与服务,更致力于成为推动产业进步、守护生态环境的长期同行者,共同绘制可持续发展的未来蓝图。</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统一股份</w:t>
            </w:r>
          </w:p>
        </w:tc>
      </w:tr>
      <w:tr>
        <w:tc>
          <w:tcPr>
            <w:tcW w:type="dxa" w:w="4320"/>
          </w:tcPr>
          <w:p>
            <w:r/>
            <w:r>
              <w:rPr>
                <w:b/>
                <w:sz w:val="20"/>
              </w:rPr>
              <w:t>股票代码</w:t>
            </w:r>
          </w:p>
        </w:tc>
        <w:tc>
          <w:tcPr>
            <w:tcW w:type="dxa" w:w="4320"/>
          </w:tcPr>
          <w:p>
            <w:r/>
            <w:r>
              <w:rPr>
                <w:sz w:val="20"/>
              </w:rPr>
              <w:t>600506.SH</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炼化及贸</w:t>
            </w:r>
          </w:p>
        </w:tc>
      </w:tr>
      <w:tr>
        <w:tc>
          <w:tcPr>
            <w:tcW w:type="dxa" w:w="4320"/>
          </w:tcPr>
          <w:p>
            <w:r/>
            <w:r>
              <w:rPr>
                <w:b/>
                <w:sz w:val="20"/>
              </w:rPr>
              <w:t>上市日期</w:t>
            </w:r>
          </w:p>
        </w:tc>
        <w:tc>
          <w:tcPr>
            <w:tcW w:type="dxa" w:w="4320"/>
          </w:tcPr>
          <w:p>
            <w:r/>
            <w:r>
              <w:rPr>
                <w:sz w:val="20"/>
              </w:rPr>
              <w:t>≈1998（最早报告期 1998-12-31 推断，无免费直接源）</w:t>
            </w:r>
          </w:p>
        </w:tc>
      </w:tr>
      <w:tr>
        <w:tc>
          <w:tcPr>
            <w:tcW w:type="dxa" w:w="4320"/>
          </w:tcPr>
          <w:p>
            <w:r/>
            <w:r>
              <w:rPr>
                <w:b/>
                <w:sz w:val="20"/>
              </w:rPr>
              <w:t>总部所在地</w:t>
            </w:r>
          </w:p>
        </w:tc>
        <w:tc>
          <w:tcPr>
            <w:tcW w:type="dxa" w:w="4320"/>
          </w:tcPr>
          <w:p>
            <w:r/>
            <w:r>
              <w:rPr>
                <w:sz w:val="20"/>
              </w:rPr>
              <w:t>新疆 新疆巴音郭楞蒙古自治州库尔勒市石化大道与圣果路交汇处福润德大厦1栋C栋15层30号</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+36.4%（报告期 2026-06-30）</w:t>
            </w:r>
          </w:p>
        </w:tc>
      </w:tr>
      <w:tr>
        <w:tc>
          <w:tcPr>
            <w:tcW w:type="dxa" w:w="4320"/>
          </w:tcPr>
          <w:p>
            <w:r/>
            <w:r>
              <w:rPr>
                <w:b/>
                <w:sz w:val="20"/>
              </w:rPr>
              <w:t>净利润趋势（同比）</w:t>
            </w:r>
          </w:p>
        </w:tc>
        <w:tc>
          <w:tcPr>
            <w:tcW w:type="dxa" w:w="4320"/>
          </w:tcPr>
          <w:p>
            <w:r/>
            <w:r>
              <w:rPr>
                <w:sz w:val="20"/>
              </w:rPr>
              <w:t>同比 +106.8%（报告期 2026-06-30）</w:t>
            </w:r>
          </w:p>
        </w:tc>
      </w:tr>
      <w:tr>
        <w:tc>
          <w:tcPr>
            <w:tcW w:type="dxa" w:w="4320"/>
          </w:tcPr>
          <w:p>
            <w:r/>
            <w:r>
              <w:rPr>
                <w:b/>
                <w:sz w:val="20"/>
              </w:rPr>
              <w:t>ROE (TTM)</w:t>
            </w:r>
          </w:p>
        </w:tc>
        <w:tc>
          <w:tcPr>
            <w:tcW w:type="dxa" w:w="4320"/>
          </w:tcPr>
          <w:p>
            <w:r/>
            <w:r>
              <w:rPr>
                <w:sz w:val="20"/>
              </w:rPr>
              <w:t>14.56%</w:t>
            </w:r>
          </w:p>
        </w:tc>
      </w:tr>
      <w:tr>
        <w:tc>
          <w:tcPr>
            <w:tcW w:type="dxa" w:w="4320"/>
          </w:tcPr>
          <w:p>
            <w:r/>
            <w:r>
              <w:rPr>
                <w:b/>
                <w:sz w:val="20"/>
              </w:rPr>
              <w:t>ROA (TTM)</w:t>
            </w:r>
          </w:p>
        </w:tc>
        <w:tc>
          <w:tcPr>
            <w:tcW w:type="dxa" w:w="4320"/>
          </w:tcPr>
          <w:p>
            <w:r/>
            <w:r>
              <w:rPr>
                <w:sz w:val="20"/>
              </w:rPr>
              <w:t>4.24%</w:t>
            </w:r>
          </w:p>
        </w:tc>
      </w:tr>
      <w:tr>
        <w:tc>
          <w:tcPr>
            <w:tcW w:type="dxa" w:w="4320"/>
          </w:tcPr>
          <w:p>
            <w:r/>
            <w:r>
              <w:rPr>
                <w:b/>
                <w:sz w:val="20"/>
              </w:rPr>
              <w:t>毛利率 (TTM)</w:t>
            </w:r>
          </w:p>
        </w:tc>
        <w:tc>
          <w:tcPr>
            <w:tcW w:type="dxa" w:w="4320"/>
          </w:tcPr>
          <w:p>
            <w:r/>
            <w:r>
              <w:rPr>
                <w:sz w:val="20"/>
              </w:rPr>
              <w:t>18.96%</w:t>
            </w:r>
          </w:p>
        </w:tc>
      </w:tr>
      <w:tr>
        <w:tc>
          <w:tcPr>
            <w:tcW w:type="dxa" w:w="4320"/>
          </w:tcPr>
          <w:p>
            <w:r/>
            <w:r>
              <w:rPr>
                <w:b/>
                <w:sz w:val="20"/>
              </w:rPr>
              <w:t>净利率 (TTM)</w:t>
            </w:r>
          </w:p>
        </w:tc>
        <w:tc>
          <w:tcPr>
            <w:tcW w:type="dxa" w:w="4320"/>
          </w:tcPr>
          <w:p>
            <w:r/>
            <w:r>
              <w:rPr>
                <w:sz w:val="20"/>
              </w:rPr>
              <w:t>4.93%</w:t>
            </w:r>
          </w:p>
        </w:tc>
      </w:tr>
      <w:tr>
        <w:tc>
          <w:tcPr>
            <w:tcW w:type="dxa" w:w="4320"/>
          </w:tcPr>
          <w:p>
            <w:r/>
            <w:r>
              <w:rPr>
                <w:b/>
                <w:sz w:val="20"/>
              </w:rPr>
              <w:t>负债权益比 (MRQ)</w:t>
            </w:r>
          </w:p>
        </w:tc>
        <w:tc>
          <w:tcPr>
            <w:tcW w:type="dxa" w:w="4320"/>
          </w:tcPr>
          <w:p>
            <w:r/>
            <w:r>
              <w:rPr>
                <w:sz w:val="20"/>
              </w:rPr>
              <w:t>1.5783</w:t>
            </w:r>
          </w:p>
        </w:tc>
      </w:tr>
      <w:tr>
        <w:tc>
          <w:tcPr>
            <w:tcW w:type="dxa" w:w="4320"/>
          </w:tcPr>
          <w:p>
            <w:r/>
            <w:r>
              <w:rPr>
                <w:b/>
                <w:sz w:val="20"/>
              </w:rPr>
              <w:t>经营现金流质量 (TTM)</w:t>
            </w:r>
          </w:p>
        </w:tc>
        <w:tc>
          <w:tcPr>
            <w:tcW w:type="dxa" w:w="4320"/>
          </w:tcPr>
          <w:p>
            <w:r/>
            <w:r>
              <w:rPr>
                <w:sz w:val="20"/>
              </w:rPr>
              <w:t>良好（OCF/NI = 1.2x）</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33.22</w:t>
            </w:r>
          </w:p>
        </w:tc>
      </w:tr>
      <w:tr>
        <w:tc>
          <w:tcPr>
            <w:tcW w:type="dxa" w:w="4320"/>
          </w:tcPr>
          <w:p>
            <w:r/>
            <w:r>
              <w:rPr>
                <w:b/>
                <w:sz w:val="20"/>
              </w:rPr>
              <w:t>市净率 (MRQ)</w:t>
            </w:r>
          </w:p>
        </w:tc>
        <w:tc>
          <w:tcPr>
            <w:tcW w:type="dxa" w:w="4320"/>
          </w:tcPr>
          <w:p>
            <w:r/>
            <w:r>
              <w:rPr>
                <w:sz w:val="20"/>
              </w:rPr>
              <w:t>9.10</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0%</w:t>
            </w:r>
          </w:p>
        </w:tc>
      </w:tr>
      <w:tr>
        <w:tc>
          <w:tcPr>
            <w:tcW w:type="dxa" w:w="4320"/>
          </w:tcPr>
          <w:p>
            <w:r/>
            <w:r>
              <w:rPr>
                <w:b/>
                <w:sz w:val="20"/>
              </w:rPr>
              <w:t>PE 3年分位</w:t>
            </w:r>
          </w:p>
        </w:tc>
        <w:tc>
          <w:tcPr>
            <w:tcW w:type="dxa" w:w="4320"/>
          </w:tcPr>
          <w:p>
            <w:r/>
            <w:r>
              <w:rPr>
                <w:sz w:val="20"/>
              </w:rPr>
              <w:t>0%</w:t>
            </w:r>
          </w:p>
        </w:tc>
      </w:tr>
      <w:tr>
        <w:tc>
          <w:tcPr>
            <w:tcW w:type="dxa" w:w="4320"/>
          </w:tcPr>
          <w:p>
            <w:r/>
            <w:r>
              <w:rPr>
                <w:b/>
                <w:sz w:val="20"/>
              </w:rPr>
              <w:t>PE 5年分位</w:t>
            </w:r>
          </w:p>
        </w:tc>
        <w:tc>
          <w:tcPr>
            <w:tcW w:type="dxa" w:w="4320"/>
          </w:tcPr>
          <w:p>
            <w:r/>
            <w:r>
              <w:rPr>
                <w:sz w:val="20"/>
              </w:rPr>
              <w:t>0%</w:t>
            </w:r>
          </w:p>
        </w:tc>
      </w:tr>
    </w:tbl>
    <w:p/>
    <w:p/>
    <w:p>
      <w:pPr>
        <w:jc w:val="center"/>
      </w:pPr>
      <w:r>
        <w:drawing>
          <wp:inline xmlns:a="http://schemas.openxmlformats.org/drawingml/2006/main" xmlns:pic="http://schemas.openxmlformats.org/drawingml/2006/picture">
            <wp:extent cx="5029200" cy="2122764"/>
            <wp:docPr id="1" name="Picture 1"/>
            <wp:cNvGraphicFramePr>
              <a:graphicFrameLocks noChangeAspect="1"/>
            </wp:cNvGraphicFramePr>
            <a:graphic>
              <a:graphicData uri="http://schemas.openxmlformats.org/drawingml/2006/picture">
                <pic:pic>
                  <pic:nvPicPr>
                    <pic:cNvPr id="0" name="600506.SH_price.png"/>
                    <pic:cNvPicPr/>
                  </pic:nvPicPr>
                  <pic:blipFill>
                    <a:blip r:embed="rId9"/>
                    <a:stretch>
                      <a:fillRect/>
                    </a:stretch>
                  </pic:blipFill>
                  <pic:spPr>
                    <a:xfrm>
                      <a:off x="0" y="0"/>
                      <a:ext cx="5029200" cy="2122764"/>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26.18%</w:t>
            </w:r>
          </w:p>
        </w:tc>
      </w:tr>
      <w:tr>
        <w:tc>
          <w:tcPr>
            <w:tcW w:type="dxa" w:w="4320"/>
          </w:tcPr>
          <w:p>
            <w:r/>
            <w:r>
              <w:rPr>
                <w:b/>
                <w:sz w:val="20"/>
              </w:rPr>
              <w:t>3月回报</w:t>
            </w:r>
          </w:p>
        </w:tc>
        <w:tc>
          <w:tcPr>
            <w:tcW w:type="dxa" w:w="4320"/>
          </w:tcPr>
          <w:p>
            <w:r/>
            <w:r>
              <w:rPr>
                <w:sz w:val="20"/>
              </w:rPr>
              <w:t>12.22%</w:t>
            </w:r>
          </w:p>
        </w:tc>
      </w:tr>
      <w:tr>
        <w:tc>
          <w:tcPr>
            <w:tcW w:type="dxa" w:w="4320"/>
          </w:tcPr>
          <w:p>
            <w:r/>
            <w:r>
              <w:rPr>
                <w:b/>
                <w:sz w:val="20"/>
              </w:rPr>
              <w:t>6月回报</w:t>
            </w:r>
          </w:p>
        </w:tc>
        <w:tc>
          <w:tcPr>
            <w:tcW w:type="dxa" w:w="4320"/>
          </w:tcPr>
          <w:p>
            <w:r/>
            <w:r>
              <w:rPr>
                <w:sz w:val="20"/>
              </w:rPr>
              <w:t>-25.89%</w:t>
            </w:r>
          </w:p>
        </w:tc>
      </w:tr>
      <w:tr>
        <w:tc>
          <w:tcPr>
            <w:tcW w:type="dxa" w:w="4320"/>
          </w:tcPr>
          <w:p>
            <w:r/>
            <w:r>
              <w:rPr>
                <w:b/>
                <w:sz w:val="20"/>
              </w:rPr>
              <w:t>12月回报</w:t>
            </w:r>
          </w:p>
        </w:tc>
        <w:tc>
          <w:tcPr>
            <w:tcW w:type="dxa" w:w="4320"/>
          </w:tcPr>
          <w:p>
            <w:r/>
            <w:r>
              <w:rPr>
                <w:sz w:val="20"/>
              </w:rPr>
              <w:t>-16.43%</w:t>
            </w:r>
          </w:p>
        </w:tc>
      </w:tr>
      <w:tr>
        <w:tc>
          <w:tcPr>
            <w:tcW w:type="dxa" w:w="4320"/>
          </w:tcPr>
          <w:p>
            <w:r/>
            <w:r>
              <w:rPr>
                <w:b/>
                <w:sz w:val="20"/>
              </w:rPr>
              <w:t>成交量趋势（1年对比）</w:t>
            </w:r>
          </w:p>
        </w:tc>
        <w:tc>
          <w:tcPr>
            <w:tcW w:type="dxa" w:w="4320"/>
          </w:tcPr>
          <w:p>
            <w:r/>
            <w:r>
              <w:rPr>
                <w:sz w:val="20"/>
              </w:rPr>
              <w:t>放量 78.6%（近21日均量 vs 前21日）</w:t>
            </w:r>
          </w:p>
        </w:tc>
      </w:tr>
      <w:tr>
        <w:tc>
          <w:tcPr>
            <w:tcW w:type="dxa" w:w="4320"/>
          </w:tcPr>
          <w:p>
            <w:r/>
            <w:r>
              <w:rPr>
                <w:b/>
                <w:sz w:val="20"/>
              </w:rPr>
              <w:t>新闻舆情（30日）</w:t>
            </w:r>
          </w:p>
        </w:tc>
        <w:tc>
          <w:tcPr>
            <w:tcW w:type="dxa" w:w="4320"/>
          </w:tcPr>
          <w:p>
            <w:r/>
            <w:r>
              <w:rPr>
                <w:sz w:val="20"/>
              </w:rPr>
              <w:t>2026-09-04 首板涨停（10:19:22封板，封单资金 0.78 亿），短线关注度上升；行业（炼化及贸）板块联动。基于东财涨停池数据，非新闻聚合。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600506.SH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600506.SH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首板涨停（10:19:22封板），情绪驱动成分高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6</w:t>
            </w:r>
          </w:p>
        </w:tc>
        <w:tc>
          <w:tcPr>
            <w:tcW w:type="dxa" w:w="2160"/>
          </w:tcPr>
          <w:p>
            <w:r/>
            <w:r>
              <w:rPr>
                <w:sz w:val="20"/>
              </w:rPr>
              <w:t>经营现金流/净利 1.2x(盈利质量佳)。</w:t>
            </w:r>
          </w:p>
        </w:tc>
      </w:tr>
      <w:tr>
        <w:tc>
          <w:tcPr>
            <w:tcW w:type="dxa" w:w="2160"/>
          </w:tcPr>
          <w:p>
            <w:r/>
            <w:r>
              <w:rPr>
                <w:b/>
                <w:sz w:val="20"/>
              </w:rPr>
              <w:t>成长性</w:t>
            </w:r>
          </w:p>
        </w:tc>
        <w:tc>
          <w:tcPr>
            <w:tcW w:type="dxa" w:w="2160"/>
          </w:tcPr>
          <w:p>
            <w:r/>
            <w:r>
              <w:rPr>
                <w:sz w:val="20"/>
              </w:rPr>
              <w:t>20%</w:t>
            </w:r>
          </w:p>
        </w:tc>
        <w:tc>
          <w:tcPr>
            <w:tcW w:type="dxa" w:w="2160"/>
          </w:tcPr>
          <w:p>
            <w:r/>
            <w:r>
              <w:rPr>
                <w:sz w:val="20"/>
              </w:rPr>
              <w:t>9</w:t>
            </w:r>
          </w:p>
        </w:tc>
        <w:tc>
          <w:tcPr>
            <w:tcW w:type="dxa" w:w="2160"/>
          </w:tcPr>
          <w:p>
            <w:r/>
            <w:r>
              <w:rPr>
                <w:sz w:val="20"/>
              </w:rPr>
              <w:t>营收同比 +36.4%、净利同比 +106.8%（最新报告期）→ 双高增长。</w:t>
            </w:r>
          </w:p>
        </w:tc>
      </w:tr>
      <w:tr>
        <w:tc>
          <w:tcPr>
            <w:tcW w:type="dxa" w:w="2160"/>
          </w:tcPr>
          <w:p>
            <w:r/>
            <w:r>
              <w:rPr>
                <w:b/>
                <w:sz w:val="20"/>
              </w:rPr>
              <w:t>估值</w:t>
            </w:r>
          </w:p>
        </w:tc>
        <w:tc>
          <w:tcPr>
            <w:tcW w:type="dxa" w:w="2160"/>
          </w:tcPr>
          <w:p>
            <w:r/>
            <w:r>
              <w:rPr>
                <w:sz w:val="20"/>
              </w:rPr>
              <w:t>20%</w:t>
            </w:r>
          </w:p>
        </w:tc>
        <w:tc>
          <w:tcPr>
            <w:tcW w:type="dxa" w:w="2160"/>
          </w:tcPr>
          <w:p>
            <w:r/>
            <w:r>
              <w:rPr>
                <w:sz w:val="20"/>
              </w:rPr>
              <w:t>9</w:t>
            </w:r>
          </w:p>
        </w:tc>
        <w:tc>
          <w:tcPr>
            <w:tcW w:type="dxa" w:w="2160"/>
          </w:tcPr>
          <w:p>
            <w:r/>
            <w:r>
              <w:rPr>
                <w:sz w:val="20"/>
              </w:rPr>
              <w:t>PE TTM 33.2，5年点-in-time分位 0% → 历史低位。</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-16%。</w:t>
            </w:r>
          </w:p>
        </w:tc>
      </w:tr>
      <w:tr>
        <w:tc>
          <w:tcPr>
            <w:tcW w:type="dxa" w:w="2160"/>
          </w:tcPr>
          <w:p>
            <w:r/>
            <w:r>
              <w:rPr>
                <w:b/>
                <w:sz w:val="20"/>
              </w:rPr>
              <w:t>行业地位</w:t>
            </w:r>
          </w:p>
        </w:tc>
        <w:tc>
          <w:tcPr>
            <w:tcW w:type="dxa" w:w="2160"/>
          </w:tcPr>
          <w:p>
            <w:r/>
            <w:r>
              <w:rPr>
                <w:sz w:val="20"/>
              </w:rPr>
              <w:t>10%</w:t>
            </w:r>
          </w:p>
        </w:tc>
        <w:tc>
          <w:tcPr>
            <w:tcW w:type="dxa" w:w="2160"/>
          </w:tcPr>
          <w:p>
            <w:r/>
            <w:r>
              <w:rPr>
                <w:sz w:val="20"/>
              </w:rPr>
              <w:t>7</w:t>
            </w:r>
          </w:p>
        </w:tc>
        <w:tc>
          <w:tcPr>
            <w:tcW w:type="dxa" w:w="2160"/>
          </w:tcPr>
          <w:p>
            <w:r/>
            <w:r>
              <w:rPr>
                <w:sz w:val="20"/>
              </w:rPr>
              <w:t>总市值 46 亿（中型）；PE 低于申万行业中位 47.5。</w:t>
            </w:r>
          </w:p>
        </w:tc>
      </w:tr>
      <w:tr>
        <w:tc>
          <w:tcPr>
            <w:tcW w:type="dxa" w:w="2160"/>
          </w:tcPr>
          <w:p>
            <w:r/>
            <w:r>
              <w:rPr>
                <w:b/>
                <w:sz w:val="20"/>
              </w:rPr>
              <w:t>风险状况</w:t>
            </w:r>
          </w:p>
        </w:tc>
        <w:tc>
          <w:tcPr>
            <w:tcW w:type="dxa" w:w="2160"/>
          </w:tcPr>
          <w:p>
            <w:r/>
            <w:r>
              <w:rPr>
                <w:sz w:val="20"/>
              </w:rPr>
              <w:t>15%</w:t>
            </w:r>
          </w:p>
        </w:tc>
        <w:tc>
          <w:tcPr>
            <w:tcW w:type="dxa" w:w="2160"/>
          </w:tcPr>
          <w:p>
            <w:r/>
            <w:r>
              <w:rPr>
                <w:sz w:val="20"/>
              </w:rPr>
              <w:t>6</w:t>
            </w:r>
          </w:p>
        </w:tc>
        <w:tc>
          <w:tcPr>
            <w:tcW w:type="dxa" w:w="2160"/>
          </w:tcPr>
          <w:p>
            <w:r/>
            <w:r>
              <w:rPr>
                <w:sz w:val="20"/>
              </w:rPr>
              <w:t>1 项风险（High×1/Medium×0/Low×0），扣减 1.0。</w:t>
            </w:r>
          </w:p>
        </w:tc>
      </w:tr>
      <w:tr>
        <w:tc>
          <w:tcPr>
            <w:tcW w:type="dxa" w:w="2160"/>
          </w:tcPr>
          <w:p>
            <w:r/>
            <w:r>
              <w:rPr>
                <w:b/>
                <w:sz w:val="20"/>
              </w:rPr>
              <w:t>总计</w:t>
            </w:r>
          </w:p>
        </w:tc>
        <w:tc>
          <w:tcPr>
            <w:tcW w:type="dxa" w:w="2160"/>
          </w:tcPr>
          <w:p>
            <w:r/>
            <w:r>
              <w:rPr>
                <w:b/>
                <w:sz w:val="20"/>
              </w:rPr>
              <w:t>100%</w:t>
            </w:r>
          </w:p>
        </w:tc>
        <w:tc>
          <w:tcPr>
            <w:tcW w:type="dxa" w:w="2160"/>
          </w:tcPr>
          <w:p>
            <w:r/>
            <w:r>
              <w:rPr>
                <w:b/>
                <w:sz w:val="20"/>
              </w:rPr>
              <w:t>7.22</w:t>
            </w:r>
          </w:p>
        </w:tc>
        <w:tc>
          <w:tcPr>
            <w:tcW w:type="dxa" w:w="2160"/>
          </w:tcPr>
          <w:p>
            <w:r/>
            <w:r>
              <w:rPr>
                <w:b/>
                <w:sz w:val="20"/>
              </w:rPr>
              <w:t>→ NEUTRAL</w:t>
            </w:r>
          </w:p>
        </w:tc>
      </w:tr>
    </w:tbl>
    <w:p/>
    <w:p/>
    <w:p>
      <w:pPr>
        <w:jc w:val="center"/>
      </w:pPr>
      <w:r>
        <w:rPr>
          <w:b/>
          <w:color w:val="CC8800"/>
          <w:sz w:val="56"/>
        </w:rPr>
        <w:t xml:space="preserve">  NEUTRAL  </w:t>
      </w:r>
    </w:p>
    <w:p>
      <w:pPr>
        <w:jc w:val="center"/>
      </w:pPr>
      <w:r>
        <w:rPr>
          <w:b/>
          <w:color w:val="333333"/>
          <w:sz w:val="28"/>
        </w:rPr>
        <w:t>长期投资决策（6–18个月）</w:t>
      </w:r>
    </w:p>
    <w:p>
      <w:pPr>
        <w:jc w:val="center"/>
      </w:pPr>
      <w:r>
        <w:rPr>
          <w:color w:val="333333"/>
          <w:sz w:val="24"/>
        </w:rPr>
        <w:t>置信度: 72%</w:t>
      </w:r>
    </w:p>
    <w:p/>
    <w:p>
      <w:pPr/>
      <w:r>
        <w:rPr>
          <w:color w:val="333333"/>
          <w:sz w:val="22"/>
        </w:rPr>
        <w:t>长期（6–18个月）视角：统一股份（600506.SH）综合加权得分 7.22/10 → NEUTRAL。财务：经营现金流/净利 1.2x(盈利质量佳)。 成长：营收同比 +36.4%、净利同比 +106.8%（最新报告期）→ 双高增长。 估值：PE TTM 33.2，5年点-in-time分位 0% → 历史低位。 动量：12月下跌 -16%。 行业地位：总市值 46 亿（中型）；PE 低于申万行业中位 47.5。 风险：1 项风险（High×1/Medium×0/Low×0），扣减 1.0。置信度 72%。首板涨停属短线事件，本报告仅给出长期视角参考，不构成短线交易信号。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CN_MarketDataService.getKLineData（symbol=sh600506，1600日）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