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新五丰</w:t>
      </w:r>
    </w:p>
    <w:p>
      <w:pPr>
        <w:jc w:val="center"/>
      </w:pPr>
      <w:r>
        <w:rPr>
          <w:color w:val="333333"/>
          <w:sz w:val="28"/>
        </w:rPr>
        <w:t>600975.SH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湖南新五丰股份有限公司于2001年成立,是湖南农业发展投资集团有限责任公司控股的国内较早以生猪养殖出口为主业的外向型上市公司,2004年6月9日公司股票在上海证券交易所挂牌上市(证券代码为600975)。新五丰作为湖南省人民政府国有资产监督管理委员会下辖的国有控股上市公司,系农业产业化国家重点龙头企业、湖南农业优势特色产业30强企业、湖南省肉类协会执行会长单位、湖南省生猪产业协会会长单位,拥有国务院国资委国有重点企业管理标杆、农业国际贸易高质量发展基地、湖南省“5G典型应用场景”等闪亮名片,致力于建设“安全、营养、高效、优质、智能、低耗、绿色和生态”的生猪产业体系。新五丰以生猪养殖为基础,建立了集原料加工、饲料仓储、种猪繁育、商品猪饲养、生猪屠宰及肉品加工、生猪交易于一体的生猪全产业链布局,通过构建高效的整体运营体系,实现了对产业链中各环节产品质量的控制、产品结构的优化,使公司拥有生猪、鲜肉、冻肉等生猪产业链上的多样化产品种类以及生猪出口、内销、鲜肉商超专柜、电话订购等丰富的多层次产品销售渠道。自成立以来,新五丰一直从事供港澳生猪业务,是内地口岸公司中主要的活猪出口商之一。“十五五”期间,新五丰将以习近平新时代中国特色社会主义思想为指导,围绕增强企业核心功能、提升核心竞争力,大力开拓国际市场、深化港澳和内地市场,全面实施“1234”发展战略,即:“1”个核心定位:建设国内一流生猪全产业链企业,巩固省内龙头地位,夯实全国行业前十地位。“2”步实施路径:第一阶段打基础、补短板、练内功;第二阶段扬优势、求突破、创一流。“3”大战略支撑:养殖板块聚焦降成本、提性能;肉品板块聚焦创品牌、拓市场;饲料板块聚焦优品质、强保障。“4”大重点工程:深入实施科技创新工程、育种提升工程、强链补链工程、产能优化工程。展望“十五五”,新五丰将用机制创新激发活力、用科技赋能突破瓶颈、用管理提升稳固基础,为实现“三高四新”美好蓝图、基本实现中国式现代化贡献力量!</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新五丰</w:t>
            </w:r>
          </w:p>
        </w:tc>
      </w:tr>
      <w:tr>
        <w:tc>
          <w:tcPr>
            <w:tcW w:type="dxa" w:w="4320"/>
          </w:tcPr>
          <w:p>
            <w:r/>
            <w:r>
              <w:rPr>
                <w:b/>
                <w:sz w:val="20"/>
              </w:rPr>
              <w:t>股票代码</w:t>
            </w:r>
          </w:p>
        </w:tc>
        <w:tc>
          <w:tcPr>
            <w:tcW w:type="dxa" w:w="4320"/>
          </w:tcPr>
          <w:p>
            <w:r/>
            <w:r>
              <w:rPr>
                <w:sz w:val="20"/>
              </w:rPr>
              <w:t>600975.SH</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养殖业</w:t>
            </w:r>
          </w:p>
        </w:tc>
      </w:tr>
      <w:tr>
        <w:tc>
          <w:tcPr>
            <w:tcW w:type="dxa" w:w="4320"/>
          </w:tcPr>
          <w:p>
            <w:r/>
            <w:r>
              <w:rPr>
                <w:b/>
                <w:sz w:val="20"/>
              </w:rPr>
              <w:t>上市日期</w:t>
            </w:r>
          </w:p>
        </w:tc>
        <w:tc>
          <w:tcPr>
            <w:tcW w:type="dxa" w:w="4320"/>
          </w:tcPr>
          <w:p>
            <w:r/>
            <w:r>
              <w:rPr>
                <w:sz w:val="20"/>
              </w:rPr>
              <w:t>≈2001（最早报告期 2001-12-31 推断，无免费直接源）</w:t>
            </w:r>
          </w:p>
        </w:tc>
      </w:tr>
      <w:tr>
        <w:tc>
          <w:tcPr>
            <w:tcW w:type="dxa" w:w="4320"/>
          </w:tcPr>
          <w:p>
            <w:r/>
            <w:r>
              <w:rPr>
                <w:b/>
                <w:sz w:val="20"/>
              </w:rPr>
              <w:t>总部所在地</w:t>
            </w:r>
          </w:p>
        </w:tc>
        <w:tc>
          <w:tcPr>
            <w:tcW w:type="dxa" w:w="4320"/>
          </w:tcPr>
          <w:p>
            <w:r/>
            <w:r>
              <w:rPr>
                <w:sz w:val="20"/>
              </w:rPr>
              <w:t>湖南 湖南省长沙市五一西路2号“第一大道”19、20楼</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-23.2%（报告期 2026-06-30）</w:t>
            </w:r>
          </w:p>
        </w:tc>
      </w:tr>
      <w:tr>
        <w:tc>
          <w:tcPr>
            <w:tcW w:type="dxa" w:w="4320"/>
          </w:tcPr>
          <w:p>
            <w:r/>
            <w:r>
              <w:rPr>
                <w:b/>
                <w:sz w:val="20"/>
              </w:rPr>
              <w:t>净利润趋势（同比）</w:t>
            </w:r>
          </w:p>
        </w:tc>
        <w:tc>
          <w:tcPr>
            <w:tcW w:type="dxa" w:w="4320"/>
          </w:tcPr>
          <w:p>
            <w:r/>
            <w:r>
              <w:rPr>
                <w:sz w:val="20"/>
              </w:rPr>
              <w:t>同比 -1727.3%（报告期 2026-06-30）</w:t>
            </w:r>
          </w:p>
        </w:tc>
      </w:tr>
      <w:tr>
        <w:tc>
          <w:tcPr>
            <w:tcW w:type="dxa" w:w="4320"/>
          </w:tcPr>
          <w:p>
            <w:r/>
            <w:r>
              <w:rPr>
                <w:b/>
                <w:sz w:val="20"/>
              </w:rPr>
              <w:t>ROE (TTM)</w:t>
            </w:r>
          </w:p>
        </w:tc>
        <w:tc>
          <w:tcPr>
            <w:tcW w:type="dxa" w:w="4320"/>
          </w:tcPr>
          <w:p>
            <w:r/>
            <w:r>
              <w:rPr>
                <w:sz w:val="20"/>
              </w:rPr>
              <w:t>-41.00%</w:t>
            </w:r>
          </w:p>
        </w:tc>
      </w:tr>
      <w:tr>
        <w:tc>
          <w:tcPr>
            <w:tcW w:type="dxa" w:w="4320"/>
          </w:tcPr>
          <w:p>
            <w:r/>
            <w:r>
              <w:rPr>
                <w:b/>
                <w:sz w:val="20"/>
              </w:rPr>
              <w:t>ROA (TTM)</w:t>
            </w:r>
          </w:p>
        </w:tc>
        <w:tc>
          <w:tcPr>
            <w:tcW w:type="dxa" w:w="4320"/>
          </w:tcPr>
          <w:p>
            <w:r/>
            <w:r>
              <w:rPr>
                <w:sz w:val="20"/>
              </w:rPr>
              <w:t>-7.11%</w:t>
            </w:r>
          </w:p>
        </w:tc>
      </w:tr>
      <w:tr>
        <w:tc>
          <w:tcPr>
            <w:tcW w:type="dxa" w:w="4320"/>
          </w:tcPr>
          <w:p>
            <w:r/>
            <w:r>
              <w:rPr>
                <w:b/>
                <w:sz w:val="20"/>
              </w:rPr>
              <w:t>毛利率 (TTM)</w:t>
            </w:r>
          </w:p>
        </w:tc>
        <w:tc>
          <w:tcPr>
            <w:tcW w:type="dxa" w:w="4320"/>
          </w:tcPr>
          <w:p>
            <w:r/>
            <w:r>
              <w:rPr>
                <w:sz w:val="20"/>
              </w:rPr>
              <w:t>-5.37%</w:t>
            </w:r>
          </w:p>
        </w:tc>
      </w:tr>
      <w:tr>
        <w:tc>
          <w:tcPr>
            <w:tcW w:type="dxa" w:w="4320"/>
          </w:tcPr>
          <w:p>
            <w:r/>
            <w:r>
              <w:rPr>
                <w:b/>
                <w:sz w:val="20"/>
              </w:rPr>
              <w:t>净利率 (TTM)</w:t>
            </w:r>
          </w:p>
        </w:tc>
        <w:tc>
          <w:tcPr>
            <w:tcW w:type="dxa" w:w="4320"/>
          </w:tcPr>
          <w:p>
            <w:r/>
            <w:r>
              <w:rPr>
                <w:sz w:val="20"/>
              </w:rPr>
              <w:t>-26.48%</w:t>
            </w:r>
          </w:p>
        </w:tc>
      </w:tr>
      <w:tr>
        <w:tc>
          <w:tcPr>
            <w:tcW w:type="dxa" w:w="4320"/>
          </w:tcPr>
          <w:p>
            <w:r/>
            <w:r>
              <w:rPr>
                <w:b/>
                <w:sz w:val="20"/>
              </w:rPr>
              <w:t>负债权益比 (MRQ)</w:t>
            </w:r>
          </w:p>
        </w:tc>
        <w:tc>
          <w:tcPr>
            <w:tcW w:type="dxa" w:w="4320"/>
          </w:tcPr>
          <w:p>
            <w:r/>
            <w:r>
              <w:rPr>
                <w:sz w:val="20"/>
              </w:rPr>
              <w:t>5.3177</w:t>
            </w:r>
          </w:p>
        </w:tc>
      </w:tr>
      <w:tr>
        <w:tc>
          <w:tcPr>
            <w:tcW w:type="dxa" w:w="4320"/>
          </w:tcPr>
          <w:p>
            <w:r/>
            <w:r>
              <w:rPr>
                <w:b/>
                <w:sz w:val="20"/>
              </w:rPr>
              <w:t>经营现金流质量 (TTM)</w:t>
            </w:r>
          </w:p>
        </w:tc>
        <w:tc>
          <w:tcPr>
            <w:tcW w:type="dxa" w:w="4320"/>
          </w:tcPr>
          <w:p>
            <w:r/>
            <w:r>
              <w:rPr>
                <w:sz w:val="20"/>
              </w:rPr>
              <w:t>无数据</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-4.74</w:t>
            </w:r>
          </w:p>
        </w:tc>
      </w:tr>
      <w:tr>
        <w:tc>
          <w:tcPr>
            <w:tcW w:type="dxa" w:w="4320"/>
          </w:tcPr>
          <w:p>
            <w:r/>
            <w:r>
              <w:rPr>
                <w:b/>
                <w:sz w:val="20"/>
              </w:rPr>
              <w:t>市净率 (MRQ)</w:t>
            </w:r>
          </w:p>
        </w:tc>
        <w:tc>
          <w:tcPr>
            <w:tcW w:type="dxa" w:w="4320"/>
          </w:tcPr>
          <w:p>
            <w:r/>
            <w:r>
              <w:rPr>
                <w:sz w:val="20"/>
              </w:rPr>
              <w:t>4.89</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0%</w:t>
            </w:r>
          </w:p>
        </w:tc>
      </w:tr>
      <w:tr>
        <w:tc>
          <w:tcPr>
            <w:tcW w:type="dxa" w:w="4320"/>
          </w:tcPr>
          <w:p>
            <w:r/>
            <w:r>
              <w:rPr>
                <w:b/>
                <w:sz w:val="20"/>
              </w:rPr>
              <w:t>PE 3年分位</w:t>
            </w:r>
          </w:p>
        </w:tc>
        <w:tc>
          <w:tcPr>
            <w:tcW w:type="dxa" w:w="4320"/>
          </w:tcPr>
          <w:p>
            <w:r/>
            <w:r>
              <w:rPr>
                <w:sz w:val="20"/>
              </w:rPr>
              <w:t>0%</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11583"/>
            <wp:docPr id="1" name="Picture 1"/>
            <wp:cNvGraphicFramePr>
              <a:graphicFrameLocks noChangeAspect="1"/>
            </wp:cNvGraphicFramePr>
            <a:graphic>
              <a:graphicData uri="http://schemas.openxmlformats.org/drawingml/2006/picture">
                <pic:pic>
                  <pic:nvPicPr>
                    <pic:cNvPr id="0" name="600975.SH_price.png"/>
                    <pic:cNvPicPr/>
                  </pic:nvPicPr>
                  <pic:blipFill>
                    <a:blip r:embed="rId9"/>
                    <a:stretch>
                      <a:fillRect/>
                    </a:stretch>
                  </pic:blipFill>
                  <pic:spPr>
                    <a:xfrm>
                      <a:off x="0" y="0"/>
                      <a:ext cx="5029200" cy="2111583"/>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12.47%</w:t>
            </w:r>
          </w:p>
        </w:tc>
      </w:tr>
      <w:tr>
        <w:tc>
          <w:tcPr>
            <w:tcW w:type="dxa" w:w="4320"/>
          </w:tcPr>
          <w:p>
            <w:r/>
            <w:r>
              <w:rPr>
                <w:b/>
                <w:sz w:val="20"/>
              </w:rPr>
              <w:t>3月回报</w:t>
            </w:r>
          </w:p>
        </w:tc>
        <w:tc>
          <w:tcPr>
            <w:tcW w:type="dxa" w:w="4320"/>
          </w:tcPr>
          <w:p>
            <w:r/>
            <w:r>
              <w:rPr>
                <w:sz w:val="20"/>
              </w:rPr>
              <w:t>15.50%</w:t>
            </w:r>
          </w:p>
        </w:tc>
      </w:tr>
      <w:tr>
        <w:tc>
          <w:tcPr>
            <w:tcW w:type="dxa" w:w="4320"/>
          </w:tcPr>
          <w:p>
            <w:r/>
            <w:r>
              <w:rPr>
                <w:b/>
                <w:sz w:val="20"/>
              </w:rPr>
              <w:t>6月回报</w:t>
            </w:r>
          </w:p>
        </w:tc>
        <w:tc>
          <w:tcPr>
            <w:tcW w:type="dxa" w:w="4320"/>
          </w:tcPr>
          <w:p>
            <w:r/>
            <w:r>
              <w:rPr>
                <w:sz w:val="20"/>
              </w:rPr>
              <w:t>-0.36%</w:t>
            </w:r>
          </w:p>
        </w:tc>
      </w:tr>
      <w:tr>
        <w:tc>
          <w:tcPr>
            <w:tcW w:type="dxa" w:w="4320"/>
          </w:tcPr>
          <w:p>
            <w:r/>
            <w:r>
              <w:rPr>
                <w:b/>
                <w:sz w:val="20"/>
              </w:rPr>
              <w:t>12月回报</w:t>
            </w:r>
          </w:p>
        </w:tc>
        <w:tc>
          <w:tcPr>
            <w:tcW w:type="dxa" w:w="4320"/>
          </w:tcPr>
          <w:p>
            <w:r/>
            <w:r>
              <w:rPr>
                <w:sz w:val="20"/>
              </w:rPr>
              <w:t>-13.60%</w:t>
            </w:r>
          </w:p>
        </w:tc>
      </w:tr>
      <w:tr>
        <w:tc>
          <w:tcPr>
            <w:tcW w:type="dxa" w:w="4320"/>
          </w:tcPr>
          <w:p>
            <w:r/>
            <w:r>
              <w:rPr>
                <w:b/>
                <w:sz w:val="20"/>
              </w:rPr>
              <w:t>成交量趋势（1年对比）</w:t>
            </w:r>
          </w:p>
        </w:tc>
        <w:tc>
          <w:tcPr>
            <w:tcW w:type="dxa" w:w="4320"/>
          </w:tcPr>
          <w:p>
            <w:r/>
            <w:r>
              <w:rPr>
                <w:sz w:val="20"/>
              </w:rPr>
              <w:t>放量 9.9%（近21日均量 vs 前21日）</w:t>
            </w:r>
          </w:p>
        </w:tc>
      </w:tr>
      <w:tr>
        <w:tc>
          <w:tcPr>
            <w:tcW w:type="dxa" w:w="4320"/>
          </w:tcPr>
          <w:p>
            <w:r/>
            <w:r>
              <w:rPr>
                <w:b/>
                <w:sz w:val="20"/>
              </w:rPr>
              <w:t>新闻舆情（30日）</w:t>
            </w:r>
          </w:p>
        </w:tc>
        <w:tc>
          <w:tcPr>
            <w:tcW w:type="dxa" w:w="4320"/>
          </w:tcPr>
          <w:p>
            <w:r/>
            <w:r>
              <w:rPr>
                <w:sz w:val="20"/>
              </w:rPr>
              <w:t>2026-09-04 首板涨停（13:00:13封板，封单资金 0.13 亿），短线关注度上升；行业（养殖业）板块联动。基于东财涨停池数据，非新闻聚合。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600975.SH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600975.SH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首板涨停（13:00:13封板），情绪驱动成分高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7.6%（CSDC）</w:t>
            </w:r>
          </w:p>
        </w:tc>
        <w:tc>
          <w:tcPr>
            <w:tcW w:type="dxa" w:w="2880"/>
            <w:shd w:fill="FFF3CD" w:val="clear"/>
          </w:tcPr>
          <w:p>
            <w:r>
              <w:t>Medium</w:t>
            </w:r>
          </w:p>
        </w:tc>
        <w:tc>
          <w:tcPr>
            <w:tcW w:type="dxa" w:w="2880"/>
          </w:tcPr>
          <w:p>
            <w:r>
              <w:t>质押比例中等，跟踪控股股东质押动态</w:t>
            </w:r>
          </w:p>
        </w:tc>
      </w:tr>
      <w:tr>
        <w:tc>
          <w:tcPr>
            <w:tcW w:type="dxa" w:w="2880"/>
          </w:tcPr>
          <w:p>
            <w:r>
              <w:t>业绩下滑风险：最新报告期归母净利同比 -1727.3%</w:t>
            </w:r>
          </w:p>
        </w:tc>
        <w:tc>
          <w:tcPr>
            <w:tcW w:type="dxa" w:w="2880"/>
            <w:shd w:fill="FFCCCC" w:val="clear"/>
          </w:tcPr>
          <w:p>
            <w:r>
              <w:t>High</w:t>
            </w:r>
          </w:p>
        </w:tc>
        <w:tc>
          <w:tcPr>
            <w:tcW w:type="dxa" w:w="2880"/>
          </w:tcPr>
          <w:p>
            <w:r>
              <w:t>以季报验证拐点；若连续两期下滑应下修评级</w:t>
            </w:r>
          </w:p>
        </w:tc>
      </w:tr>
      <w:tr>
        <w:tc>
          <w:tcPr>
            <w:tcW w:type="dxa" w:w="2880"/>
          </w:tcPr>
          <w:p>
            <w:r>
              <w:t>最新报告期归母净利为负（亏损）</w:t>
            </w:r>
          </w:p>
        </w:tc>
        <w:tc>
          <w:tcPr>
            <w:tcW w:type="dxa" w:w="2880"/>
            <w:shd w:fill="FFCCCC" w:val="clear"/>
          </w:tcPr>
          <w:p>
            <w:r>
              <w:t>High</w:t>
            </w:r>
          </w:p>
        </w:tc>
        <w:tc>
          <w:tcPr>
            <w:tcW w:type="dxa" w:w="2880"/>
          </w:tcPr>
          <w:p>
            <w:r>
              <w:t>评估扭亏路径与现金流覆盖能力</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3</w:t>
            </w:r>
          </w:p>
        </w:tc>
        <w:tc>
          <w:tcPr>
            <w:tcW w:type="dxa" w:w="2160"/>
          </w:tcPr>
          <w:p>
            <w:r/>
            <w:r>
              <w:rPr>
                <w:sz w:val="20"/>
              </w:rPr>
              <w:t>负债/权益 5.32(高杠杆)。</w:t>
            </w:r>
          </w:p>
        </w:tc>
      </w:tr>
      <w:tr>
        <w:tc>
          <w:tcPr>
            <w:tcW w:type="dxa" w:w="2160"/>
          </w:tcPr>
          <w:p>
            <w:r/>
            <w:r>
              <w:rPr>
                <w:b/>
                <w:sz w:val="20"/>
              </w:rPr>
              <w:t>成长性</w:t>
            </w:r>
          </w:p>
        </w:tc>
        <w:tc>
          <w:tcPr>
            <w:tcW w:type="dxa" w:w="2160"/>
          </w:tcPr>
          <w:p>
            <w:r/>
            <w:r>
              <w:rPr>
                <w:sz w:val="20"/>
              </w:rPr>
              <w:t>20%</w:t>
            </w:r>
          </w:p>
        </w:tc>
        <w:tc>
          <w:tcPr>
            <w:tcW w:type="dxa" w:w="2160"/>
          </w:tcPr>
          <w:p>
            <w:r/>
            <w:r>
              <w:rPr>
                <w:sz w:val="20"/>
              </w:rPr>
              <w:t>2</w:t>
            </w:r>
          </w:p>
        </w:tc>
        <w:tc>
          <w:tcPr>
            <w:tcW w:type="dxa" w:w="2160"/>
          </w:tcPr>
          <w:p>
            <w:r/>
            <w:r>
              <w:rPr>
                <w:sz w:val="20"/>
              </w:rPr>
              <w:t>营收同比 -23.2%、净利同比 -1727.3%（最新报告期）→ 大幅下滑。</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亏损/PE 无意义；PB 5年分位 93%，估值维度偏保守。</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-14%。</w:t>
            </w:r>
          </w:p>
        </w:tc>
      </w:tr>
      <w:tr>
        <w:tc>
          <w:tcPr>
            <w:tcW w:type="dxa" w:w="2160"/>
          </w:tcPr>
          <w:p>
            <w:r/>
            <w:r>
              <w:rPr>
                <w:b/>
                <w:sz w:val="20"/>
              </w:rPr>
              <w:t>行业地位</w:t>
            </w:r>
          </w:p>
        </w:tc>
        <w:tc>
          <w:tcPr>
            <w:tcW w:type="dxa" w:w="2160"/>
          </w:tcPr>
          <w:p>
            <w:r/>
            <w:r>
              <w:rPr>
                <w:sz w:val="20"/>
              </w:rPr>
              <w:t>10%</w:t>
            </w:r>
          </w:p>
        </w:tc>
        <w:tc>
          <w:tcPr>
            <w:tcW w:type="dxa" w:w="2160"/>
          </w:tcPr>
          <w:p>
            <w:r/>
            <w:r>
              <w:rPr>
                <w:sz w:val="20"/>
              </w:rPr>
              <w:t>6</w:t>
            </w:r>
          </w:p>
        </w:tc>
        <w:tc>
          <w:tcPr>
            <w:tcW w:type="dxa" w:w="2160"/>
          </w:tcPr>
          <w:p>
            <w:r/>
            <w:r>
              <w:rPr>
                <w:sz w:val="20"/>
              </w:rPr>
              <w:t>总市值 70 亿（中型）。</w:t>
            </w:r>
          </w:p>
        </w:tc>
      </w:tr>
      <w:tr>
        <w:tc>
          <w:tcPr>
            <w:tcW w:type="dxa" w:w="2160"/>
          </w:tcPr>
          <w:p>
            <w:r/>
            <w:r>
              <w:rPr>
                <w:b/>
                <w:sz w:val="20"/>
              </w:rPr>
              <w:t>风险状况</w:t>
            </w:r>
          </w:p>
        </w:tc>
        <w:tc>
          <w:tcPr>
            <w:tcW w:type="dxa" w:w="2160"/>
          </w:tcPr>
          <w:p>
            <w:r/>
            <w:r>
              <w:rPr>
                <w:sz w:val="20"/>
              </w:rPr>
              <w:t>15%</w:t>
            </w:r>
          </w:p>
        </w:tc>
        <w:tc>
          <w:tcPr>
            <w:tcW w:type="dxa" w:w="2160"/>
          </w:tcPr>
          <w:p>
            <w:r/>
            <w:r>
              <w:rPr>
                <w:sz w:val="20"/>
              </w:rPr>
              <w:t>2</w:t>
            </w:r>
          </w:p>
        </w:tc>
        <w:tc>
          <w:tcPr>
            <w:tcW w:type="dxa" w:w="2160"/>
          </w:tcPr>
          <w:p>
            <w:r/>
            <w:r>
              <w:rPr>
                <w:sz w:val="20"/>
              </w:rPr>
              <w:t>4 项风险（High×3/Medium×1/Low×0），扣减 3.5。</w:t>
            </w:r>
          </w:p>
        </w:tc>
      </w:tr>
      <w:tr>
        <w:tc>
          <w:tcPr>
            <w:tcW w:type="dxa" w:w="2160"/>
          </w:tcPr>
          <w:p>
            <w:r/>
            <w:r>
              <w:rPr>
                <w:b/>
                <w:sz w:val="20"/>
              </w:rPr>
              <w:t>总计</w:t>
            </w:r>
          </w:p>
        </w:tc>
        <w:tc>
          <w:tcPr>
            <w:tcW w:type="dxa" w:w="2160"/>
          </w:tcPr>
          <w:p>
            <w:r/>
            <w:r>
              <w:rPr>
                <w:b/>
                <w:sz w:val="20"/>
              </w:rPr>
              <w:t>100%</w:t>
            </w:r>
          </w:p>
        </w:tc>
        <w:tc>
          <w:tcPr>
            <w:tcW w:type="dxa" w:w="2160"/>
          </w:tcPr>
          <w:p>
            <w:r/>
            <w:r>
              <w:rPr>
                <w:b/>
                <w:sz w:val="20"/>
              </w:rPr>
              <w:t>3.20</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68%</w:t>
      </w:r>
    </w:p>
    <w:p/>
    <w:p>
      <w:pPr/>
      <w:r>
        <w:rPr>
          <w:color w:val="333333"/>
          <w:sz w:val="22"/>
        </w:rPr>
        <w:t>长期（6–18个月）视角：新五丰（600975.SH）综合加权得分 3.2/10 → SELL。财务：负债/权益 5.32(高杠杆)。 成长：营收同比 -23.2%、净利同比 -1727.3%（最新报告期）→ 大幅下滑。 估值：亏损/PE 无意义；PB 5年分位 93%，估值维度偏保守。 动量：12月下跌 -14%。 行业地位：总市值 70 亿（中型）。 风险：4 项风险（High×3/Medium×1/Low×0），扣减 3.5。置信度 68%。首板涨停属短线事件，本报告仅给出长期视角参考，不构成短线交易信号。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CN_MarketDataService.getKLineData（symbol=sh600975，1600日）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