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b/>
          <w:color w:val="1A3C6E"/>
          <w:sz w:val="56"/>
        </w:rPr>
        <w:t>通达电气</w:t>
      </w:r>
    </w:p>
    <w:p>
      <w:pPr>
        <w:jc w:val="center"/>
      </w:pPr>
      <w:r>
        <w:rPr>
          <w:color w:val="333333"/>
          <w:sz w:val="28"/>
        </w:rPr>
        <w:t>603390.SH  ·  CN</w:t>
      </w:r>
    </w:p>
    <w:p/>
    <w:p/>
    <w:p>
      <w:pPr>
        <w:jc w:val="center"/>
      </w:pPr>
      <w:r>
        <w:rPr>
          <w:color w:val="1A3C6E"/>
          <w:sz w:val="32"/>
        </w:rPr>
        <w:t>投资决策报告</w:t>
      </w:r>
    </w:p>
    <w:p/>
    <w:p>
      <w:pPr>
        <w:jc w:val="center"/>
      </w:pPr>
      <w:r>
        <w:rPr>
          <w:color w:val="333333"/>
          <w:sz w:val="24"/>
        </w:rPr>
        <w:t>报告日期: 2026-09-04</w:t>
      </w:r>
    </w:p>
    <w:p>
      <w:r>
        <w:br w:type="page"/>
      </w:r>
    </w:p>
    <w:p>
      <w:pPr/>
      <w:r>
        <w:rPr>
          <w:b/>
          <w:color w:val="1A3C6E"/>
          <w:sz w:val="32"/>
        </w:rPr>
        <w:t>1. 公司概览</w:t>
      </w:r>
    </w:p>
    <w:p/>
    <w:p>
      <w:pPr/>
      <w:r>
        <w:rPr>
          <w:color w:val="333333"/>
          <w:sz w:val="20"/>
        </w:rPr>
        <w:t>广州通达汽车电气股份有限公司(股票代码:SH.603390)是一家专业从事车载智能终端综合信息管理系统及配套汽车电气产品研发、生产、销售的高新技术企业,主要服务于商用车生产厂商及终端用户,并以乘用车、移动医疗车领域为目标,积极开拓新市场。公司专注于智能化、信息化技术在商用车领域的应用,形成了车载智能系统、新能源汽车电机与热管理系统、公交多媒体信息发布系统、车载部件等四大产品系列,拥有有效知识产权超600项,承担省市多个技术攻关重点项目,荣获广东省专精特新企业、广东省创新型试点企业、广东省科技进步奖一等奖等荣誉,致力于成为国内车载电气领域最具竞争力的企业之一。公司移动医疗车业务以提供更便捷、高效的医疗服务为宗旨,以医疗、体检机构等为目标客户,已推出移动CT检查车、5G智能眼科巡诊车、5G远程DR体检服务车、核酸采集快检车、移动疫苗接种车等五款成熟产品。公司以“让出行和生活更美好”为企业使命,以物联网、大数据等技术为基础,不断提高产品智能化水平、提升公众出行体验。</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公司名称</w:t>
            </w:r>
          </w:p>
        </w:tc>
        <w:tc>
          <w:tcPr>
            <w:tcW w:type="dxa" w:w="4320"/>
          </w:tcPr>
          <w:p>
            <w:r/>
            <w:r>
              <w:rPr>
                <w:sz w:val="20"/>
              </w:rPr>
              <w:t>通达电气</w:t>
            </w:r>
          </w:p>
        </w:tc>
      </w:tr>
      <w:tr>
        <w:tc>
          <w:tcPr>
            <w:tcW w:type="dxa" w:w="4320"/>
          </w:tcPr>
          <w:p>
            <w:r/>
            <w:r>
              <w:rPr>
                <w:b/>
                <w:sz w:val="20"/>
              </w:rPr>
              <w:t>股票代码</w:t>
            </w:r>
          </w:p>
        </w:tc>
        <w:tc>
          <w:tcPr>
            <w:tcW w:type="dxa" w:w="4320"/>
          </w:tcPr>
          <w:p>
            <w:r/>
            <w:r>
              <w:rPr>
                <w:sz w:val="20"/>
              </w:rPr>
              <w:t>603390.SH</w:t>
            </w:r>
          </w:p>
        </w:tc>
      </w:tr>
      <w:tr>
        <w:tc>
          <w:tcPr>
            <w:tcW w:type="dxa" w:w="4320"/>
          </w:tcPr>
          <w:p>
            <w:r/>
            <w:r>
              <w:rPr>
                <w:b/>
                <w:sz w:val="20"/>
              </w:rPr>
              <w:t>市场</w:t>
            </w:r>
          </w:p>
        </w:tc>
        <w:tc>
          <w:tcPr>
            <w:tcW w:type="dxa" w:w="4320"/>
          </w:tcPr>
          <w:p>
            <w:r/>
            <w:r>
              <w:rPr>
                <w:sz w:val="20"/>
              </w:rPr>
              <w:t>cn</w:t>
            </w:r>
          </w:p>
        </w:tc>
      </w:tr>
      <w:tr>
        <w:tc>
          <w:tcPr>
            <w:tcW w:type="dxa" w:w="4320"/>
          </w:tcPr>
          <w:p>
            <w:r/>
            <w:r>
              <w:rPr>
                <w:b/>
                <w:sz w:val="20"/>
              </w:rPr>
              <w:t>行业</w:t>
            </w:r>
          </w:p>
        </w:tc>
        <w:tc>
          <w:tcPr>
            <w:tcW w:type="dxa" w:w="4320"/>
          </w:tcPr>
          <w:p>
            <w:r/>
            <w:r>
              <w:rPr>
                <w:sz w:val="20"/>
              </w:rPr>
              <w:t>汽车零部</w:t>
            </w:r>
          </w:p>
        </w:tc>
      </w:tr>
      <w:tr>
        <w:tc>
          <w:tcPr>
            <w:tcW w:type="dxa" w:w="4320"/>
          </w:tcPr>
          <w:p>
            <w:r/>
            <w:r>
              <w:rPr>
                <w:b/>
                <w:sz w:val="20"/>
              </w:rPr>
              <w:t>上市日期</w:t>
            </w:r>
          </w:p>
        </w:tc>
        <w:tc>
          <w:tcPr>
            <w:tcW w:type="dxa" w:w="4320"/>
          </w:tcPr>
          <w:p>
            <w:r/>
            <w:r>
              <w:rPr>
                <w:sz w:val="20"/>
              </w:rPr>
              <w:t>≈2014（最早报告期 2014-12-31 推断，无免费直接源）</w:t>
            </w:r>
          </w:p>
        </w:tc>
      </w:tr>
      <w:tr>
        <w:tc>
          <w:tcPr>
            <w:tcW w:type="dxa" w:w="4320"/>
          </w:tcPr>
          <w:p>
            <w:r/>
            <w:r>
              <w:rPr>
                <w:b/>
                <w:sz w:val="20"/>
              </w:rPr>
              <w:t>总部所在地</w:t>
            </w:r>
          </w:p>
        </w:tc>
        <w:tc>
          <w:tcPr>
            <w:tcW w:type="dxa" w:w="4320"/>
          </w:tcPr>
          <w:p>
            <w:r/>
            <w:r>
              <w:rPr>
                <w:sz w:val="20"/>
              </w:rPr>
              <w:t>广东 广州市白云区云正大道1112号</w:t>
            </w:r>
          </w:p>
        </w:tc>
      </w:tr>
    </w:tbl>
    <w:p/>
    <w:p>
      <w:pPr/>
      <w:r>
        <w:rPr>
          <w:b/>
          <w:color w:val="1A3C6E"/>
          <w:sz w:val="32"/>
        </w:rPr>
        <w:t>2. 财务分析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营收趋势（同比）</w:t>
            </w:r>
          </w:p>
        </w:tc>
        <w:tc>
          <w:tcPr>
            <w:tcW w:type="dxa" w:w="4320"/>
          </w:tcPr>
          <w:p>
            <w:r/>
            <w:r>
              <w:rPr>
                <w:sz w:val="20"/>
              </w:rPr>
              <w:t>同比 -5.3%（报告期 2026-06-30）</w:t>
            </w:r>
          </w:p>
        </w:tc>
      </w:tr>
      <w:tr>
        <w:tc>
          <w:tcPr>
            <w:tcW w:type="dxa" w:w="4320"/>
          </w:tcPr>
          <w:p>
            <w:r/>
            <w:r>
              <w:rPr>
                <w:b/>
                <w:sz w:val="20"/>
              </w:rPr>
              <w:t>净利润趋势（同比）</w:t>
            </w:r>
          </w:p>
        </w:tc>
        <w:tc>
          <w:tcPr>
            <w:tcW w:type="dxa" w:w="4320"/>
          </w:tcPr>
          <w:p>
            <w:r/>
            <w:r>
              <w:rPr>
                <w:sz w:val="20"/>
              </w:rPr>
              <w:t>同比 +128.8%（报告期 2026-06-30）</w:t>
            </w:r>
          </w:p>
        </w:tc>
      </w:tr>
      <w:tr>
        <w:tc>
          <w:tcPr>
            <w:tcW w:type="dxa" w:w="4320"/>
          </w:tcPr>
          <w:p>
            <w:r/>
            <w:r>
              <w:rPr>
                <w:b/>
                <w:sz w:val="20"/>
              </w:rPr>
              <w:t>ROE (TTM)</w:t>
            </w:r>
          </w:p>
        </w:tc>
        <w:tc>
          <w:tcPr>
            <w:tcW w:type="dxa" w:w="4320"/>
          </w:tcPr>
          <w:p>
            <w:r/>
            <w:r>
              <w:rPr>
                <w:sz w:val="20"/>
              </w:rPr>
              <w:t>4.32%</w:t>
            </w:r>
          </w:p>
        </w:tc>
      </w:tr>
      <w:tr>
        <w:tc>
          <w:tcPr>
            <w:tcW w:type="dxa" w:w="4320"/>
          </w:tcPr>
          <w:p>
            <w:r/>
            <w:r>
              <w:rPr>
                <w:b/>
                <w:sz w:val="20"/>
              </w:rPr>
              <w:t>ROA (TTM)</w:t>
            </w:r>
          </w:p>
        </w:tc>
        <w:tc>
          <w:tcPr>
            <w:tcW w:type="dxa" w:w="4320"/>
          </w:tcPr>
          <w:p>
            <w:r/>
            <w:r>
              <w:rPr>
                <w:sz w:val="20"/>
              </w:rPr>
              <w:t>3.55%</w:t>
            </w:r>
          </w:p>
        </w:tc>
      </w:tr>
      <w:tr>
        <w:tc>
          <w:tcPr>
            <w:tcW w:type="dxa" w:w="4320"/>
          </w:tcPr>
          <w:p>
            <w:r/>
            <w:r>
              <w:rPr>
                <w:b/>
                <w:sz w:val="20"/>
              </w:rPr>
              <w:t>毛利率 (TTM)</w:t>
            </w:r>
          </w:p>
        </w:tc>
        <w:tc>
          <w:tcPr>
            <w:tcW w:type="dxa" w:w="4320"/>
          </w:tcPr>
          <w:p>
            <w:r/>
            <w:r>
              <w:rPr>
                <w:sz w:val="20"/>
              </w:rPr>
              <w:t>31.99%</w:t>
            </w:r>
          </w:p>
        </w:tc>
      </w:tr>
      <w:tr>
        <w:tc>
          <w:tcPr>
            <w:tcW w:type="dxa" w:w="4320"/>
          </w:tcPr>
          <w:p>
            <w:r/>
            <w:r>
              <w:rPr>
                <w:b/>
                <w:sz w:val="20"/>
              </w:rPr>
              <w:t>净利率 (TTM)</w:t>
            </w:r>
          </w:p>
        </w:tc>
        <w:tc>
          <w:tcPr>
            <w:tcW w:type="dxa" w:w="4320"/>
          </w:tcPr>
          <w:p>
            <w:r/>
            <w:r>
              <w:rPr>
                <w:sz w:val="20"/>
              </w:rPr>
              <w:t>18.13%</w:t>
            </w:r>
          </w:p>
        </w:tc>
      </w:tr>
      <w:tr>
        <w:tc>
          <w:tcPr>
            <w:tcW w:type="dxa" w:w="4320"/>
          </w:tcPr>
          <w:p>
            <w:r/>
            <w:r>
              <w:rPr>
                <w:b/>
                <w:sz w:val="20"/>
              </w:rPr>
              <w:t>负债权益比 (MRQ)</w:t>
            </w:r>
          </w:p>
        </w:tc>
        <w:tc>
          <w:tcPr>
            <w:tcW w:type="dxa" w:w="4320"/>
          </w:tcPr>
          <w:p>
            <w:r/>
            <w:r>
              <w:rPr>
                <w:sz w:val="20"/>
              </w:rPr>
              <w:t>0.1695</w:t>
            </w:r>
          </w:p>
        </w:tc>
      </w:tr>
      <w:tr>
        <w:tc>
          <w:tcPr>
            <w:tcW w:type="dxa" w:w="4320"/>
          </w:tcPr>
          <w:p>
            <w:r/>
            <w:r>
              <w:rPr>
                <w:b/>
                <w:sz w:val="20"/>
              </w:rPr>
              <w:t>经营现金流质量 (TTM)</w:t>
            </w:r>
          </w:p>
        </w:tc>
        <w:tc>
          <w:tcPr>
            <w:tcW w:type="dxa" w:w="4320"/>
          </w:tcPr>
          <w:p>
            <w:r/>
            <w:r>
              <w:rPr>
                <w:sz w:val="20"/>
              </w:rPr>
              <w:t>弱（OCF/NI = 0.5x）</w:t>
            </w:r>
          </w:p>
        </w:tc>
      </w:tr>
    </w:tbl>
    <w:p/>
    <w:p>
      <w:pPr/>
      <w:r>
        <w:rPr>
          <w:b/>
          <w:color w:val="1A3C6E"/>
          <w:sz w:val="32"/>
        </w:rPr>
        <w:t>3. 估值分析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市盈率 (TTM)</w:t>
            </w:r>
          </w:p>
        </w:tc>
        <w:tc>
          <w:tcPr>
            <w:tcW w:type="dxa" w:w="4320"/>
          </w:tcPr>
          <w:p>
            <w:r/>
            <w:r>
              <w:rPr>
                <w:sz w:val="20"/>
              </w:rPr>
              <w:t>26.90</w:t>
            </w:r>
          </w:p>
        </w:tc>
      </w:tr>
      <w:tr>
        <w:tc>
          <w:tcPr>
            <w:tcW w:type="dxa" w:w="4320"/>
          </w:tcPr>
          <w:p>
            <w:r/>
            <w:r>
              <w:rPr>
                <w:b/>
                <w:sz w:val="20"/>
              </w:rPr>
              <w:t>市净率 (MRQ)</w:t>
            </w:r>
          </w:p>
        </w:tc>
        <w:tc>
          <w:tcPr>
            <w:tcW w:type="dxa" w:w="4320"/>
          </w:tcPr>
          <w:p>
            <w:r/>
            <w:r>
              <w:rPr>
                <w:sz w:val="20"/>
              </w:rPr>
              <w:t>2.30</w:t>
            </w:r>
          </w:p>
        </w:tc>
      </w:tr>
      <w:tr>
        <w:tc>
          <w:tcPr>
            <w:tcW w:type="dxa" w:w="4320"/>
          </w:tcPr>
          <w:p>
            <w:r/>
            <w:r>
              <w:rPr>
                <w:b/>
                <w:sz w:val="20"/>
              </w:rPr>
              <w:t>EV / Revenue</w:t>
            </w:r>
          </w:p>
        </w:tc>
        <w:tc>
          <w:tcPr>
            <w:tcW w:type="dxa" w:w="4320"/>
          </w:tcPr>
          <w:p>
            <w:r/>
            <w:r>
              <w:rPr>
                <w:sz w:val="20"/>
              </w:rPr>
              <w:t>—</w:t>
            </w:r>
          </w:p>
        </w:tc>
      </w:tr>
      <w:tr>
        <w:tc>
          <w:tcPr>
            <w:tcW w:type="dxa" w:w="4320"/>
          </w:tcPr>
          <w:p>
            <w:r/>
            <w:r>
              <w:rPr>
                <w:b/>
                <w:sz w:val="20"/>
              </w:rPr>
              <w:t>EV / EBITDA</w:t>
            </w:r>
          </w:p>
        </w:tc>
        <w:tc>
          <w:tcPr>
            <w:tcW w:type="dxa" w:w="4320"/>
          </w:tcPr>
          <w:p>
            <w:r/>
            <w:r>
              <w:rPr>
                <w:sz w:val="20"/>
              </w:rPr>
              <w:t>—</w:t>
            </w:r>
          </w:p>
        </w:tc>
      </w:tr>
      <w:tr>
        <w:tc>
          <w:tcPr>
            <w:tcW w:type="dxa" w:w="4320"/>
          </w:tcPr>
          <w:p>
            <w:r/>
            <w:r>
              <w:rPr>
                <w:b/>
                <w:sz w:val="20"/>
              </w:rPr>
              <w:t>PEG比率 (TTM)</w:t>
            </w:r>
          </w:p>
        </w:tc>
        <w:tc>
          <w:tcPr>
            <w:tcW w:type="dxa" w:w="4320"/>
          </w:tcPr>
          <w:p>
            <w:r/>
            <w:r>
              <w:rPr>
                <w:sz w:val="20"/>
              </w:rPr>
              <w:t>Neg. Earnings</w:t>
            </w:r>
          </w:p>
        </w:tc>
      </w:tr>
      <w:tr>
        <w:tc>
          <w:tcPr>
            <w:tcW w:type="dxa" w:w="4320"/>
          </w:tcPr>
          <w:p>
            <w:r/>
            <w:r>
              <w:rPr>
                <w:b/>
                <w:sz w:val="20"/>
              </w:rPr>
              <w:t>PE 1年分位</w:t>
            </w:r>
          </w:p>
        </w:tc>
        <w:tc>
          <w:tcPr>
            <w:tcW w:type="dxa" w:w="4320"/>
          </w:tcPr>
          <w:p>
            <w:r/>
            <w:r>
              <w:rPr>
                <w:sz w:val="20"/>
              </w:rPr>
              <w:t>17%</w:t>
            </w:r>
          </w:p>
        </w:tc>
      </w:tr>
      <w:tr>
        <w:tc>
          <w:tcPr>
            <w:tcW w:type="dxa" w:w="4320"/>
          </w:tcPr>
          <w:p>
            <w:r/>
            <w:r>
              <w:rPr>
                <w:b/>
                <w:sz w:val="20"/>
              </w:rPr>
              <w:t>PE 3年分位</w:t>
            </w:r>
          </w:p>
        </w:tc>
        <w:tc>
          <w:tcPr>
            <w:tcW w:type="dxa" w:w="4320"/>
          </w:tcPr>
          <w:p>
            <w:r/>
            <w:r>
              <w:rPr>
                <w:sz w:val="20"/>
              </w:rPr>
              <w:t>7%</w:t>
            </w:r>
          </w:p>
        </w:tc>
      </w:tr>
      <w:tr>
        <w:tc>
          <w:tcPr>
            <w:tcW w:type="dxa" w:w="4320"/>
          </w:tcPr>
          <w:p>
            <w:r/>
            <w:r>
              <w:rPr>
                <w:b/>
                <w:sz w:val="20"/>
              </w:rPr>
              <w:t>PE 5年分位</w:t>
            </w:r>
          </w:p>
        </w:tc>
        <w:tc>
          <w:tcPr>
            <w:tcW w:type="dxa" w:w="4320"/>
          </w:tcPr>
          <w:p>
            <w:r/>
            <w:r>
              <w:rPr>
                <w:sz w:val="20"/>
              </w:rPr>
              <w:t>29%</w:t>
            </w:r>
          </w:p>
        </w:tc>
      </w:tr>
    </w:tbl>
    <w:p/>
    <w:p/>
    <w:p>
      <w:pPr>
        <w:jc w:val="center"/>
      </w:pPr>
      <w:r>
        <w:drawing>
          <wp:inline xmlns:a="http://schemas.openxmlformats.org/drawingml/2006/main" xmlns:pic="http://schemas.openxmlformats.org/drawingml/2006/picture">
            <wp:extent cx="5029200" cy="2122764"/>
            <wp:docPr id="1" name="Picture 1"/>
            <wp:cNvGraphicFramePr>
              <a:graphicFrameLocks noChangeAspect="1"/>
            </wp:cNvGraphicFramePr>
            <a:graphic>
              <a:graphicData uri="http://schemas.openxmlformats.org/drawingml/2006/picture">
                <pic:pic>
                  <pic:nvPicPr>
                    <pic:cNvPr id="0" name="603390.SH_price.png"/>
                    <pic:cNvPicPr/>
                  </pic:nvPicPr>
                  <pic:blipFill>
                    <a:blip r:embed="rId9"/>
                    <a:stretch>
                      <a:fillRect/>
                    </a:stretch>
                  </pic:blipFill>
                  <pic:spPr>
                    <a:xfrm>
                      <a:off x="0" y="0"/>
                      <a:ext cx="5029200" cy="2122764"/>
                    </a:xfrm>
                    <a:prstGeom prst="rect"/>
                  </pic:spPr>
                </pic:pic>
              </a:graphicData>
            </a:graphic>
          </wp:inline>
        </w:drawing>
      </w:r>
    </w:p>
    <w:p>
      <w:pPr/>
      <w:r>
        <w:rPr>
          <w:b/>
          <w:color w:val="1A3C6E"/>
          <w:sz w:val="32"/>
        </w:rPr>
        <w:t>4. 市场与情绪分析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1月回报</w:t>
            </w:r>
          </w:p>
        </w:tc>
        <w:tc>
          <w:tcPr>
            <w:tcW w:type="dxa" w:w="4320"/>
          </w:tcPr>
          <w:p>
            <w:r/>
            <w:r>
              <w:rPr>
                <w:sz w:val="20"/>
              </w:rPr>
              <w:t>10.11%</w:t>
            </w:r>
          </w:p>
        </w:tc>
      </w:tr>
      <w:tr>
        <w:tc>
          <w:tcPr>
            <w:tcW w:type="dxa" w:w="4320"/>
          </w:tcPr>
          <w:p>
            <w:r/>
            <w:r>
              <w:rPr>
                <w:b/>
                <w:sz w:val="20"/>
              </w:rPr>
              <w:t>3月回报</w:t>
            </w:r>
          </w:p>
        </w:tc>
        <w:tc>
          <w:tcPr>
            <w:tcW w:type="dxa" w:w="4320"/>
          </w:tcPr>
          <w:p>
            <w:r/>
            <w:r>
              <w:rPr>
                <w:sz w:val="20"/>
              </w:rPr>
              <w:t>-6.01%</w:t>
            </w:r>
          </w:p>
        </w:tc>
      </w:tr>
      <w:tr>
        <w:tc>
          <w:tcPr>
            <w:tcW w:type="dxa" w:w="4320"/>
          </w:tcPr>
          <w:p>
            <w:r/>
            <w:r>
              <w:rPr>
                <w:b/>
                <w:sz w:val="20"/>
              </w:rPr>
              <w:t>6月回报</w:t>
            </w:r>
          </w:p>
        </w:tc>
        <w:tc>
          <w:tcPr>
            <w:tcW w:type="dxa" w:w="4320"/>
          </w:tcPr>
          <w:p>
            <w:r/>
            <w:r>
              <w:rPr>
                <w:sz w:val="20"/>
              </w:rPr>
              <w:t>-11.69%</w:t>
            </w:r>
          </w:p>
        </w:tc>
      </w:tr>
      <w:tr>
        <w:tc>
          <w:tcPr>
            <w:tcW w:type="dxa" w:w="4320"/>
          </w:tcPr>
          <w:p>
            <w:r/>
            <w:r>
              <w:rPr>
                <w:b/>
                <w:sz w:val="20"/>
              </w:rPr>
              <w:t>12月回报</w:t>
            </w:r>
          </w:p>
        </w:tc>
        <w:tc>
          <w:tcPr>
            <w:tcW w:type="dxa" w:w="4320"/>
          </w:tcPr>
          <w:p>
            <w:r/>
            <w:r>
              <w:rPr>
                <w:sz w:val="20"/>
              </w:rPr>
              <w:t>-21.21%</w:t>
            </w:r>
          </w:p>
        </w:tc>
      </w:tr>
      <w:tr>
        <w:tc>
          <w:tcPr>
            <w:tcW w:type="dxa" w:w="4320"/>
          </w:tcPr>
          <w:p>
            <w:r/>
            <w:r>
              <w:rPr>
                <w:b/>
                <w:sz w:val="20"/>
              </w:rPr>
              <w:t>成交量趋势（1年对比）</w:t>
            </w:r>
          </w:p>
        </w:tc>
        <w:tc>
          <w:tcPr>
            <w:tcW w:type="dxa" w:w="4320"/>
          </w:tcPr>
          <w:p>
            <w:r/>
            <w:r>
              <w:rPr>
                <w:sz w:val="20"/>
              </w:rPr>
              <w:t>缩量 10.9%（近21日均量 vs 前21日）</w:t>
            </w:r>
          </w:p>
        </w:tc>
      </w:tr>
      <w:tr>
        <w:tc>
          <w:tcPr>
            <w:tcW w:type="dxa" w:w="4320"/>
          </w:tcPr>
          <w:p>
            <w:r/>
            <w:r>
              <w:rPr>
                <w:b/>
                <w:sz w:val="20"/>
              </w:rPr>
              <w:t>新闻舆情（30日）</w:t>
            </w:r>
          </w:p>
        </w:tc>
        <w:tc>
          <w:tcPr>
            <w:tcW w:type="dxa" w:w="4320"/>
          </w:tcPr>
          <w:p>
            <w:r/>
            <w:r>
              <w:rPr>
                <w:sz w:val="20"/>
              </w:rPr>
              <w:t>2026-09-04 首板涨停（09:38:18封板，封单资金 0.65 亿），短线关注度上升；行业（汽车零部）板块联动。基于东财涨停池数据，非新闻聚合。</w:t>
            </w:r>
          </w:p>
        </w:tc>
      </w:tr>
    </w:tbl>
    <w:p/>
    <w:p/>
    <w:p>
      <w:pPr>
        <w:jc w:val="center"/>
      </w:pPr>
      <w:r>
        <w:drawing>
          <wp:inline xmlns:a="http://schemas.openxmlformats.org/drawingml/2006/main" xmlns:pic="http://schemas.openxmlformats.org/drawingml/2006/picture">
            <wp:extent cx="5029200" cy="1837738"/>
            <wp:docPr id="2" name="Picture 2"/>
            <wp:cNvGraphicFramePr>
              <a:graphicFrameLocks noChangeAspect="1"/>
            </wp:cNvGraphicFramePr>
            <a:graphic>
              <a:graphicData uri="http://schemas.openxmlformats.org/drawingml/2006/picture">
                <pic:pic>
                  <pic:nvPicPr>
                    <pic:cNvPr id="0" name="603390.SH_monthly.png"/>
                    <pic:cNvPicPr/>
                  </pic:nvPicPr>
                  <pic:blipFill>
                    <a:blip r:embed="rId10"/>
                    <a:stretch>
                      <a:fillRect/>
                    </a:stretch>
                  </pic:blipFill>
                  <pic:spPr>
                    <a:xfrm>
                      <a:off x="0" y="0"/>
                      <a:ext cx="5029200" cy="1837738"/>
                    </a:xfrm>
                    <a:prstGeom prst="rect"/>
                  </pic:spPr>
                </pic:pic>
              </a:graphicData>
            </a:graphic>
          </wp:inline>
        </w:drawing>
      </w:r>
    </w:p>
    <w:p/>
    <w:p>
      <w:pPr>
        <w:jc w:val="center"/>
      </w:pPr>
      <w:r>
        <w:drawing>
          <wp:inline xmlns:a="http://schemas.openxmlformats.org/drawingml/2006/main" xmlns:pic="http://schemas.openxmlformats.org/drawingml/2006/picture">
            <wp:extent cx="4389120" cy="1863306"/>
            <wp:docPr id="3" name="Picture 3"/>
            <wp:cNvGraphicFramePr>
              <a:graphicFrameLocks noChangeAspect="1"/>
            </wp:cNvGraphicFramePr>
            <a:graphic>
              <a:graphicData uri="http://schemas.openxmlformats.org/drawingml/2006/picture">
                <pic:pic>
                  <pic:nvPicPr>
                    <pic:cNvPr id="0" name="603390.SH_yearly.png"/>
                    <pic:cNvPicPr/>
                  </pic:nvPicPr>
                  <pic:blipFill>
                    <a:blip r:embed="rId11"/>
                    <a:stretch>
                      <a:fillRect/>
                    </a:stretch>
                  </pic:blipFill>
                  <pic:spPr>
                    <a:xfrm>
                      <a:off x="0" y="0"/>
                      <a:ext cx="4389120" cy="1863306"/>
                    </a:xfrm>
                    <a:prstGeom prst="rect"/>
                  </pic:spPr>
                </pic:pic>
              </a:graphicData>
            </a:graphic>
          </wp:inline>
        </w:drawing>
      </w:r>
    </w:p>
    <w:p>
      <w:pPr/>
      <w:r>
        <w:rPr>
          <w:b/>
          <w:color w:val="1A3C6E"/>
          <w:sz w:val="32"/>
        </w:rPr>
        <w:t>5. 风险评估</w:t>
      </w:r>
    </w:p>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rPr>
              <w:t>风险因素</w:t>
            </w:r>
          </w:p>
        </w:tc>
        <w:tc>
          <w:tcPr>
            <w:tcW w:type="dxa" w:w="2880"/>
          </w:tcPr>
          <w:p>
            <w:r>
              <w:rPr>
                <w:b/>
              </w:rPr>
              <w:t>级别</w:t>
            </w:r>
          </w:p>
        </w:tc>
        <w:tc>
          <w:tcPr>
            <w:tcW w:type="dxa" w:w="2880"/>
          </w:tcPr>
          <w:p>
            <w:r>
              <w:rPr>
                <w:b/>
              </w:rPr>
              <w:t>缓解因素</w:t>
            </w:r>
          </w:p>
        </w:tc>
      </w:tr>
      <w:tr>
        <w:tc>
          <w:tcPr>
            <w:tcW w:type="dxa" w:w="2880"/>
          </w:tcPr>
          <w:p>
            <w:r>
              <w:t>短线交易风险：2026-09-04 首板涨停（09:38:18封板），情绪驱动成分高</w:t>
            </w:r>
          </w:p>
        </w:tc>
        <w:tc>
          <w:tcPr>
            <w:tcW w:type="dxa" w:w="2880"/>
            <w:shd w:fill="FFCCCC" w:val="clear"/>
          </w:tcPr>
          <w:p>
            <w:r>
              <w:t>High</w:t>
            </w:r>
          </w:p>
        </w:tc>
        <w:tc>
          <w:tcPr>
            <w:tcW w:type="dxa" w:w="2880"/>
          </w:tcPr>
          <w:p>
            <w:r>
              <w:t>本报告为 6–18 个月长期视角，不建议涨停次日追高；等待情绪回落后再评估入场点</w:t>
            </w:r>
          </w:p>
        </w:tc>
      </w:tr>
    </w:tbl>
    <w:p/>
    <w:p>
      <w:pPr/>
      <w:r>
        <w:rPr>
          <w:b/>
          <w:color w:val="1A3C6E"/>
          <w:sz w:val="32"/>
        </w:rPr>
        <w:t>6. 长期投资决策</w:t>
      </w:r>
    </w:p>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20"/>
              </w:rPr>
              <w:t>维度</w:t>
            </w:r>
          </w:p>
        </w:tc>
        <w:tc>
          <w:tcPr>
            <w:tcW w:type="dxa" w:w="2160"/>
          </w:tcPr>
          <w:p>
            <w:r/>
            <w:r>
              <w:rPr>
                <w:b/>
                <w:sz w:val="20"/>
              </w:rPr>
              <w:t>权重</w:t>
            </w:r>
          </w:p>
        </w:tc>
        <w:tc>
          <w:tcPr>
            <w:tcW w:type="dxa" w:w="2160"/>
          </w:tcPr>
          <w:p>
            <w:r/>
            <w:r>
              <w:rPr>
                <w:b/>
                <w:sz w:val="20"/>
              </w:rPr>
              <w:t>得分 (1–10)</w:t>
            </w:r>
          </w:p>
        </w:tc>
        <w:tc>
          <w:tcPr>
            <w:tcW w:type="dxa" w:w="2160"/>
          </w:tcPr>
          <w:p>
            <w:r/>
            <w:r>
              <w:rPr>
                <w:b/>
                <w:sz w:val="20"/>
              </w:rPr>
              <w:t>理由</w:t>
            </w:r>
          </w:p>
        </w:tc>
      </w:tr>
      <w:tr>
        <w:tc>
          <w:tcPr>
            <w:tcW w:type="dxa" w:w="2160"/>
          </w:tcPr>
          <w:p>
            <w:r/>
            <w:r>
              <w:rPr>
                <w:b/>
                <w:sz w:val="20"/>
              </w:rPr>
              <w:t>财务健康</w:t>
            </w:r>
          </w:p>
        </w:tc>
        <w:tc>
          <w:tcPr>
            <w:tcW w:type="dxa" w:w="2160"/>
          </w:tcPr>
          <w:p>
            <w:r/>
            <w:r>
              <w:rPr>
                <w:sz w:val="20"/>
              </w:rPr>
              <w:t>20%</w:t>
            </w:r>
          </w:p>
        </w:tc>
        <w:tc>
          <w:tcPr>
            <w:tcW w:type="dxa" w:w="2160"/>
          </w:tcPr>
          <w:p>
            <w:r/>
            <w:r>
              <w:rPr>
                <w:sz w:val="20"/>
              </w:rPr>
              <w:t>6</w:t>
            </w:r>
          </w:p>
        </w:tc>
        <w:tc>
          <w:tcPr>
            <w:tcW w:type="dxa" w:w="2160"/>
          </w:tcPr>
          <w:p>
            <w:r/>
            <w:r>
              <w:rPr>
                <w:sz w:val="20"/>
              </w:rPr>
              <w:t>负债/权益 0.17(低杠杆)。</w:t>
            </w:r>
          </w:p>
        </w:tc>
      </w:tr>
      <w:tr>
        <w:tc>
          <w:tcPr>
            <w:tcW w:type="dxa" w:w="2160"/>
          </w:tcPr>
          <w:p>
            <w:r/>
            <w:r>
              <w:rPr>
                <w:b/>
                <w:sz w:val="20"/>
              </w:rPr>
              <w:t>成长性</w:t>
            </w:r>
          </w:p>
        </w:tc>
        <w:tc>
          <w:tcPr>
            <w:tcW w:type="dxa" w:w="2160"/>
          </w:tcPr>
          <w:p>
            <w:r/>
            <w:r>
              <w:rPr>
                <w:sz w:val="20"/>
              </w:rPr>
              <w:t>20%</w:t>
            </w:r>
          </w:p>
        </w:tc>
        <w:tc>
          <w:tcPr>
            <w:tcW w:type="dxa" w:w="2160"/>
          </w:tcPr>
          <w:p>
            <w:r/>
            <w:r>
              <w:rPr>
                <w:sz w:val="20"/>
              </w:rPr>
              <w:t>6</w:t>
            </w:r>
          </w:p>
        </w:tc>
        <w:tc>
          <w:tcPr>
            <w:tcW w:type="dxa" w:w="2160"/>
          </w:tcPr>
          <w:p>
            <w:r/>
            <w:r>
              <w:rPr>
                <w:sz w:val="20"/>
              </w:rPr>
              <w:t>营收同比 -5.3%、净利同比 +128.8%（最新报告期）→ 低增长。</w:t>
            </w:r>
          </w:p>
        </w:tc>
      </w:tr>
      <w:tr>
        <w:tc>
          <w:tcPr>
            <w:tcW w:type="dxa" w:w="2160"/>
          </w:tcPr>
          <w:p>
            <w:r/>
            <w:r>
              <w:rPr>
                <w:b/>
                <w:sz w:val="20"/>
              </w:rPr>
              <w:t>估值</w:t>
            </w:r>
          </w:p>
        </w:tc>
        <w:tc>
          <w:tcPr>
            <w:tcW w:type="dxa" w:w="2160"/>
          </w:tcPr>
          <w:p>
            <w:r/>
            <w:r>
              <w:rPr>
                <w:sz w:val="20"/>
              </w:rPr>
              <w:t>20%</w:t>
            </w:r>
          </w:p>
        </w:tc>
        <w:tc>
          <w:tcPr>
            <w:tcW w:type="dxa" w:w="2160"/>
          </w:tcPr>
          <w:p>
            <w:r/>
            <w:r>
              <w:rPr>
                <w:sz w:val="20"/>
              </w:rPr>
              <w:t>8</w:t>
            </w:r>
          </w:p>
        </w:tc>
        <w:tc>
          <w:tcPr>
            <w:tcW w:type="dxa" w:w="2160"/>
          </w:tcPr>
          <w:p>
            <w:r/>
            <w:r>
              <w:rPr>
                <w:sz w:val="20"/>
              </w:rPr>
              <w:t>PE TTM 26.9，5年点-in-time分位 29% → 偏低。</w:t>
            </w:r>
          </w:p>
        </w:tc>
      </w:tr>
      <w:tr>
        <w:tc>
          <w:tcPr>
            <w:tcW w:type="dxa" w:w="2160"/>
          </w:tcPr>
          <w:p>
            <w:r/>
            <w:r>
              <w:rPr>
                <w:b/>
                <w:sz w:val="20"/>
              </w:rPr>
              <w:t>动量与情绪</w:t>
            </w:r>
          </w:p>
        </w:tc>
        <w:tc>
          <w:tcPr>
            <w:tcW w:type="dxa" w:w="2160"/>
          </w:tcPr>
          <w:p>
            <w:r/>
            <w:r>
              <w:rPr>
                <w:sz w:val="20"/>
              </w:rPr>
              <w:t>15%</w:t>
            </w:r>
          </w:p>
        </w:tc>
        <w:tc>
          <w:tcPr>
            <w:tcW w:type="dxa" w:w="2160"/>
          </w:tcPr>
          <w:p>
            <w:r/>
            <w:r>
              <w:rPr>
                <w:sz w:val="20"/>
              </w:rPr>
              <w:t>6</w:t>
            </w:r>
          </w:p>
        </w:tc>
        <w:tc>
          <w:tcPr>
            <w:tcW w:type="dxa" w:w="2160"/>
          </w:tcPr>
          <w:p>
            <w:r/>
            <w:r>
              <w:rPr>
                <w:sz w:val="20"/>
              </w:rPr>
              <w:t>12月下跌 -21%。</w:t>
            </w:r>
          </w:p>
        </w:tc>
      </w:tr>
      <w:tr>
        <w:tc>
          <w:tcPr>
            <w:tcW w:type="dxa" w:w="2160"/>
          </w:tcPr>
          <w:p>
            <w:r/>
            <w:r>
              <w:rPr>
                <w:b/>
                <w:sz w:val="20"/>
              </w:rPr>
              <w:t>行业地位</w:t>
            </w:r>
          </w:p>
        </w:tc>
        <w:tc>
          <w:tcPr>
            <w:tcW w:type="dxa" w:w="2160"/>
          </w:tcPr>
          <w:p>
            <w:r/>
            <w:r>
              <w:rPr>
                <w:sz w:val="20"/>
              </w:rPr>
              <w:t>10%</w:t>
            </w:r>
          </w:p>
        </w:tc>
        <w:tc>
          <w:tcPr>
            <w:tcW w:type="dxa" w:w="2160"/>
          </w:tcPr>
          <w:p>
            <w:r/>
            <w:r>
              <w:rPr>
                <w:sz w:val="20"/>
              </w:rPr>
              <w:t>7</w:t>
            </w:r>
          </w:p>
        </w:tc>
        <w:tc>
          <w:tcPr>
            <w:tcW w:type="dxa" w:w="2160"/>
          </w:tcPr>
          <w:p>
            <w:r/>
            <w:r>
              <w:rPr>
                <w:sz w:val="20"/>
              </w:rPr>
              <w:t>总市值 39 亿（中型）；PE 低于申万行业中位 28.4。</w:t>
            </w:r>
          </w:p>
        </w:tc>
      </w:tr>
      <w:tr>
        <w:tc>
          <w:tcPr>
            <w:tcW w:type="dxa" w:w="2160"/>
          </w:tcPr>
          <w:p>
            <w:r/>
            <w:r>
              <w:rPr>
                <w:b/>
                <w:sz w:val="20"/>
              </w:rPr>
              <w:t>风险状况</w:t>
            </w:r>
          </w:p>
        </w:tc>
        <w:tc>
          <w:tcPr>
            <w:tcW w:type="dxa" w:w="2160"/>
          </w:tcPr>
          <w:p>
            <w:r/>
            <w:r>
              <w:rPr>
                <w:sz w:val="20"/>
              </w:rPr>
              <w:t>15%</w:t>
            </w:r>
          </w:p>
        </w:tc>
        <w:tc>
          <w:tcPr>
            <w:tcW w:type="dxa" w:w="2160"/>
          </w:tcPr>
          <w:p>
            <w:r/>
            <w:r>
              <w:rPr>
                <w:sz w:val="20"/>
              </w:rPr>
              <w:t>6</w:t>
            </w:r>
          </w:p>
        </w:tc>
        <w:tc>
          <w:tcPr>
            <w:tcW w:type="dxa" w:w="2160"/>
          </w:tcPr>
          <w:p>
            <w:r/>
            <w:r>
              <w:rPr>
                <w:sz w:val="20"/>
              </w:rPr>
              <w:t>1 项风险（High×1/Medium×0/Low×0），扣减 1.0。</w:t>
            </w:r>
          </w:p>
        </w:tc>
      </w:tr>
      <w:tr>
        <w:tc>
          <w:tcPr>
            <w:tcW w:type="dxa" w:w="2160"/>
          </w:tcPr>
          <w:p>
            <w:r/>
            <w:r>
              <w:rPr>
                <w:b/>
                <w:sz w:val="20"/>
              </w:rPr>
              <w:t>总计</w:t>
            </w:r>
          </w:p>
        </w:tc>
        <w:tc>
          <w:tcPr>
            <w:tcW w:type="dxa" w:w="2160"/>
          </w:tcPr>
          <w:p>
            <w:r/>
            <w:r>
              <w:rPr>
                <w:b/>
                <w:sz w:val="20"/>
              </w:rPr>
              <w:t>100%</w:t>
            </w:r>
          </w:p>
        </w:tc>
        <w:tc>
          <w:tcPr>
            <w:tcW w:type="dxa" w:w="2160"/>
          </w:tcPr>
          <w:p>
            <w:r/>
            <w:r>
              <w:rPr>
                <w:b/>
                <w:sz w:val="20"/>
              </w:rPr>
              <w:t>6.33</w:t>
            </w:r>
          </w:p>
        </w:tc>
        <w:tc>
          <w:tcPr>
            <w:tcW w:type="dxa" w:w="2160"/>
          </w:tcPr>
          <w:p>
            <w:r/>
            <w:r>
              <w:rPr>
                <w:b/>
                <w:sz w:val="20"/>
              </w:rPr>
              <w:t>→ NEUTRAL</w:t>
            </w:r>
          </w:p>
        </w:tc>
      </w:tr>
    </w:tbl>
    <w:p/>
    <w:p/>
    <w:p>
      <w:pPr>
        <w:jc w:val="center"/>
      </w:pPr>
      <w:r>
        <w:rPr>
          <w:b/>
          <w:color w:val="CC8800"/>
          <w:sz w:val="56"/>
        </w:rPr>
        <w:t xml:space="preserve">  NEUTRAL  </w:t>
      </w:r>
    </w:p>
    <w:p>
      <w:pPr>
        <w:jc w:val="center"/>
      </w:pPr>
      <w:r>
        <w:rPr>
          <w:b/>
          <w:color w:val="333333"/>
          <w:sz w:val="28"/>
        </w:rPr>
        <w:t>长期投资决策（6–18个月）</w:t>
      </w:r>
    </w:p>
    <w:p>
      <w:pPr>
        <w:jc w:val="center"/>
      </w:pPr>
      <w:r>
        <w:rPr>
          <w:color w:val="333333"/>
          <w:sz w:val="24"/>
        </w:rPr>
        <w:t>置信度: 63%</w:t>
      </w:r>
    </w:p>
    <w:p/>
    <w:p>
      <w:pPr/>
      <w:r>
        <w:rPr>
          <w:color w:val="333333"/>
          <w:sz w:val="22"/>
        </w:rPr>
        <w:t>长期（6–18个月）视角：通达电气（603390.SH）综合加权得分 6.33/10 → NEUTRAL。财务：负债/权益 0.17(低杠杆)。 成长：营收同比 -5.3%、净利同比 +128.8%（最新报告期）→ 低增长。 估值：PE TTM 26.9，5年点-in-time分位 29% → 偏低。 动量：12月下跌 -21%。 行业地位：总市值 39 亿（中型）；PE 低于申万行业中位 28.4。 风险：1 项风险（High×1/Medium×0/Low×0），扣减 1.0。置信度 63%。首板涨停属短线事件，本报告仅给出长期视角参考，不构成短线交易信号。</w:t>
      </w:r>
    </w:p>
    <w:p>
      <w:r>
        <w:br w:type="page"/>
      </w:r>
    </w:p>
    <w:p>
      <w:pPr/>
      <w:r>
        <w:rPr>
          <w:b/>
          <w:color w:val="1A3C6E"/>
          <w:sz w:val="32"/>
        </w:rPr>
        <w:t>8. 数据来源与参考文献</w:t>
      </w:r>
    </w:p>
    <w:p/>
    <w:p>
      <w:pPr/>
      <w:r>
        <w:rPr>
          <w:color w:val="333333"/>
          <w:sz w:val="18"/>
        </w:rPr>
        <w:t>1. Financial data: 东财 datacenter RPT_F10_FINANCE_MAINFINADATA（季度累计，北交所覆盖）</w:t>
      </w:r>
    </w:p>
    <w:p>
      <w:pPr/>
      <w:r>
        <w:rPr>
          <w:color w:val="333333"/>
          <w:sz w:val="18"/>
        </w:rPr>
        <w:t>2. Price data: 新浪财经日K线 CN_MarketDataService.getKLineData（symbol=sh603390，1600日）</w:t>
      </w:r>
    </w:p>
    <w:p>
      <w:pPr/>
      <w:r>
        <w:rPr>
          <w:color w:val="333333"/>
          <w:sz w:val="18"/>
        </w:rPr>
        <w:t>3. News &amp; sentiment: 东财涨停池（push2ex，2026-09-04）——事实性事件描述，非新闻聚合</w:t>
      </w:r>
    </w:p>
    <w:p>
      <w:pPr/>
      <w:r>
        <w:rPr>
          <w:color w:val="333333"/>
          <w:sz w:val="18"/>
        </w:rPr>
        <w:t>4. Analyst ratings: 无免费源（未披露，未纳入评分）</w:t>
      </w:r>
    </w:p>
    <w:p>
      <w:pPr/>
      <w:r>
        <w:rPr>
          <w:color w:val="333333"/>
          <w:sz w:val="18"/>
        </w:rPr>
        <w:t>5. Industry research: 申万一级行业中位PE（抽样≤30，腾讯批量PE）</w:t>
      </w:r>
    </w:p>
    <w:p>
      <w:pPr/>
      <w:r>
        <w:rPr>
          <w:color w:val="333333"/>
          <w:sz w:val="18"/>
        </w:rPr>
        <w:t>6. Risk factors: CSDC 质押数据（shim get_stock_pledge）+ 东财涨停池 push2ex getTopicZTPool（2026-09-04）</w:t>
      </w:r>
    </w:p>
    <w:p>
      <w:pPr/>
      <w:r>
        <w:rPr>
          <w:color w:val="333333"/>
          <w:sz w:val="18"/>
        </w:rPr>
        <w:t>7. Company info: 东财 F10 CompanySurvey PageAjax（ORG_PROFILE/ADDRESS）</w:t>
      </w:r>
    </w:p>
    <w:p/>
    <w:p>
      <w:pPr/>
      <w:r>
        <w:rPr>
          <w:color w:val="999999"/>
          <w:sz w:val="16"/>
        </w:rPr>
        <w:t>Report generated: 2026-09-04</w:t>
      </w:r>
    </w:p>
    <w:p>
      <w:pPr/>
      <w:r>
        <w:rPr>
          <w:color w:val="999999"/>
          <w:sz w:val="16"/>
        </w:rPr>
        <w:t>本报告由AI生成，仅供研究参考，不构成投资建议。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